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10774BD2" w:rsidR="00E90E49" w:rsidRPr="004E0C05" w:rsidRDefault="003C71E9" w:rsidP="00E35559">
      <w:pPr>
        <w:pStyle w:val="3GPPHeader"/>
        <w:spacing w:after="60"/>
        <w:rPr>
          <w:sz w:val="32"/>
          <w:szCs w:val="32"/>
        </w:rPr>
      </w:pPr>
      <w:r w:rsidRPr="00E12807">
        <w:t>3GPP TSG-RAN WG1</w:t>
      </w:r>
      <w:r w:rsidR="00192D80">
        <w:t xml:space="preserve"> </w:t>
      </w:r>
      <w:r w:rsidR="00192D80" w:rsidRPr="000246A0">
        <w:t xml:space="preserve">Meeting </w:t>
      </w:r>
      <w:r w:rsidR="006E2AB5" w:rsidRPr="006E2AB5">
        <w:t>#109-e</w:t>
      </w:r>
      <w:r w:rsidR="00E90E49" w:rsidRPr="00CE0424">
        <w:tab/>
      </w:r>
      <w:proofErr w:type="spellStart"/>
      <w:r w:rsidR="00E90E49" w:rsidRPr="004E0C05">
        <w:rPr>
          <w:sz w:val="32"/>
          <w:szCs w:val="32"/>
        </w:rPr>
        <w:t>Tdoc</w:t>
      </w:r>
      <w:proofErr w:type="spellEnd"/>
      <w:r w:rsidR="00E90E49" w:rsidRPr="004E0C05">
        <w:rPr>
          <w:sz w:val="32"/>
          <w:szCs w:val="32"/>
        </w:rPr>
        <w:t xml:space="preserve"> </w:t>
      </w:r>
      <w:r w:rsidR="00192D80" w:rsidRPr="00192D80">
        <w:rPr>
          <w:sz w:val="32"/>
          <w:szCs w:val="32"/>
        </w:rPr>
        <w:t>R1-220</w:t>
      </w:r>
      <w:r w:rsidR="00513230">
        <w:rPr>
          <w:sz w:val="32"/>
          <w:szCs w:val="32"/>
        </w:rPr>
        <w:t>3400</w:t>
      </w:r>
    </w:p>
    <w:p w14:paraId="06CCB2C4" w14:textId="7799B72D" w:rsidR="009E1BB6" w:rsidRPr="00CE0424" w:rsidRDefault="003C71E9" w:rsidP="009E1BB6">
      <w:pPr>
        <w:pStyle w:val="3GPPHeader"/>
      </w:pPr>
      <w:r w:rsidRPr="009549FE">
        <w:rPr>
          <w:bCs/>
        </w:rPr>
        <w:t xml:space="preserve">e-Meeting, </w:t>
      </w:r>
      <w:r w:rsidR="006E2AB5" w:rsidRPr="006E2AB5">
        <w:rPr>
          <w:bCs/>
        </w:rPr>
        <w:t>May 9</w:t>
      </w:r>
      <w:r w:rsidR="006E2AB5" w:rsidRPr="006E2AB5">
        <w:rPr>
          <w:bCs/>
          <w:vertAlign w:val="superscript"/>
        </w:rPr>
        <w:t>th</w:t>
      </w:r>
      <w:r w:rsidR="006E2AB5" w:rsidRPr="006E2AB5">
        <w:rPr>
          <w:bCs/>
        </w:rPr>
        <w:t xml:space="preserve"> – 20</w:t>
      </w:r>
      <w:r w:rsidR="006E2AB5" w:rsidRPr="006E2AB5">
        <w:rPr>
          <w:bCs/>
          <w:vertAlign w:val="superscript"/>
        </w:rPr>
        <w:t>th</w:t>
      </w:r>
      <w:r w:rsidR="006E2AB5" w:rsidRPr="006E2AB5">
        <w:rPr>
          <w:bCs/>
        </w:rPr>
        <w:t>, 2022</w:t>
      </w:r>
    </w:p>
    <w:p w14:paraId="1F4608B5" w14:textId="77777777" w:rsidR="00E90E49" w:rsidRPr="00CE0424" w:rsidRDefault="00E90E49" w:rsidP="00357380">
      <w:pPr>
        <w:pStyle w:val="3GPPHeader"/>
      </w:pPr>
    </w:p>
    <w:p w14:paraId="5CC8B96E" w14:textId="37CD83E0" w:rsidR="00E90E49" w:rsidRPr="0093412E" w:rsidRDefault="00E90E49" w:rsidP="00311702">
      <w:pPr>
        <w:pStyle w:val="3GPPHeader"/>
        <w:rPr>
          <w:sz w:val="22"/>
          <w:szCs w:val="22"/>
          <w:lang w:val="en-US"/>
        </w:rPr>
      </w:pPr>
      <w:r w:rsidRPr="004E0C05">
        <w:rPr>
          <w:sz w:val="22"/>
          <w:szCs w:val="22"/>
          <w:lang w:val="en-US"/>
        </w:rPr>
        <w:t>Agenda Item:</w:t>
      </w:r>
      <w:r w:rsidRPr="004E0C05">
        <w:rPr>
          <w:sz w:val="22"/>
          <w:szCs w:val="22"/>
          <w:lang w:val="en-US"/>
        </w:rPr>
        <w:tab/>
      </w:r>
      <w:r w:rsidR="003C71E9" w:rsidRPr="004E0C05">
        <w:rPr>
          <w:sz w:val="22"/>
          <w:szCs w:val="22"/>
          <w:lang w:val="en-US"/>
        </w:rPr>
        <w:t>8.1</w:t>
      </w:r>
      <w:r w:rsidR="006C69B4">
        <w:rPr>
          <w:sz w:val="22"/>
          <w:szCs w:val="22"/>
          <w:lang w:val="en-US"/>
        </w:rPr>
        <w:t>6</w:t>
      </w:r>
      <w:r w:rsidR="003C71E9" w:rsidRPr="004E0C05">
        <w:rPr>
          <w:sz w:val="22"/>
          <w:szCs w:val="22"/>
          <w:lang w:val="en-US"/>
        </w:rPr>
        <w:t>.3</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6BEE31C9" w:rsidR="00E90E49" w:rsidRPr="00CE0424" w:rsidRDefault="003D3C45" w:rsidP="00311702">
      <w:pPr>
        <w:pStyle w:val="3GPPHeader"/>
        <w:rPr>
          <w:sz w:val="22"/>
          <w:szCs w:val="22"/>
        </w:rPr>
      </w:pPr>
      <w:r>
        <w:rPr>
          <w:sz w:val="22"/>
          <w:szCs w:val="22"/>
        </w:rPr>
        <w:t>Title:</w:t>
      </w:r>
      <w:r w:rsidR="00E90E49" w:rsidRPr="00CE0424">
        <w:rPr>
          <w:sz w:val="22"/>
          <w:szCs w:val="22"/>
        </w:rPr>
        <w:tab/>
      </w:r>
      <w:r w:rsidR="003C71E9" w:rsidRPr="003C71E9">
        <w:rPr>
          <w:sz w:val="22"/>
          <w:szCs w:val="22"/>
        </w:rPr>
        <w:t xml:space="preserve">Rel-17 UE Features for </w:t>
      </w:r>
      <w:proofErr w:type="spellStart"/>
      <w:r w:rsidR="003C71E9" w:rsidRPr="003C71E9">
        <w:rPr>
          <w:sz w:val="22"/>
          <w:szCs w:val="22"/>
        </w:rPr>
        <w:t>IIoT</w:t>
      </w:r>
      <w:proofErr w:type="spellEnd"/>
      <w:r w:rsidR="003C71E9" w:rsidRPr="003C71E9">
        <w:rPr>
          <w:sz w:val="22"/>
          <w:szCs w:val="22"/>
        </w:rPr>
        <w:t>/URLLC</w:t>
      </w:r>
    </w:p>
    <w:p w14:paraId="3ED876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C71E9">
        <w:rPr>
          <w:sz w:val="22"/>
          <w:szCs w:val="22"/>
        </w:rPr>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13423D4E" w14:textId="277A7B2C" w:rsidR="00477768" w:rsidRPr="005240AD" w:rsidRDefault="009578C7" w:rsidP="00CE0424">
      <w:pPr>
        <w:pStyle w:val="BodyText"/>
        <w:rPr>
          <w:rFonts w:ascii="Times New Roman" w:hAnsi="Times New Roman"/>
        </w:rPr>
      </w:pPr>
      <w:r w:rsidRPr="005240AD">
        <w:rPr>
          <w:rFonts w:ascii="Times New Roman" w:hAnsi="Times New Roman"/>
        </w:rPr>
        <w:t xml:space="preserve">In this contribution, </w:t>
      </w:r>
      <w:r w:rsidR="00700004" w:rsidRPr="005240AD">
        <w:rPr>
          <w:rFonts w:ascii="Times New Roman" w:hAnsi="Times New Roman"/>
        </w:rPr>
        <w:t xml:space="preserve">the remaining issues </w:t>
      </w:r>
      <w:r w:rsidR="00D002F1" w:rsidRPr="005240AD">
        <w:rPr>
          <w:rFonts w:ascii="Times New Roman" w:hAnsi="Times New Roman"/>
        </w:rPr>
        <w:t xml:space="preserve">of </w:t>
      </w:r>
      <w:r w:rsidRPr="005240AD">
        <w:rPr>
          <w:rFonts w:ascii="Times New Roman" w:hAnsi="Times New Roman"/>
        </w:rPr>
        <w:t xml:space="preserve">Rel-17 UE Features for </w:t>
      </w:r>
      <w:proofErr w:type="spellStart"/>
      <w:r w:rsidRPr="005240AD">
        <w:rPr>
          <w:rFonts w:ascii="Times New Roman" w:hAnsi="Times New Roman"/>
        </w:rPr>
        <w:t>IIoT</w:t>
      </w:r>
      <w:proofErr w:type="spellEnd"/>
      <w:r w:rsidRPr="005240AD">
        <w:rPr>
          <w:rFonts w:ascii="Times New Roman" w:hAnsi="Times New Roman"/>
        </w:rPr>
        <w:t>/URLLC are discussed</w:t>
      </w:r>
      <w:r w:rsidR="005339EA">
        <w:rPr>
          <w:rFonts w:ascii="Times New Roman" w:hAnsi="Times New Roman"/>
        </w:rPr>
        <w:t xml:space="preserve"> </w:t>
      </w:r>
      <w:r w:rsidR="005339EA">
        <w:rPr>
          <w:rFonts w:ascii="Times New Roman" w:hAnsi="Times New Roman"/>
        </w:rPr>
        <w:fldChar w:fldCharType="begin"/>
      </w:r>
      <w:r w:rsidR="005339EA">
        <w:rPr>
          <w:rFonts w:ascii="Times New Roman" w:hAnsi="Times New Roman"/>
        </w:rPr>
        <w:instrText xml:space="preserve"> REF _Ref90685234 \r \h </w:instrText>
      </w:r>
      <w:r w:rsidR="005339EA">
        <w:rPr>
          <w:rFonts w:ascii="Times New Roman" w:hAnsi="Times New Roman"/>
        </w:rPr>
      </w:r>
      <w:r w:rsidR="005339EA">
        <w:rPr>
          <w:rFonts w:ascii="Times New Roman" w:hAnsi="Times New Roman"/>
        </w:rPr>
        <w:fldChar w:fldCharType="separate"/>
      </w:r>
      <w:r w:rsidR="004C41F1">
        <w:rPr>
          <w:rFonts w:ascii="Times New Roman" w:hAnsi="Times New Roman"/>
        </w:rPr>
        <w:t>[1]</w:t>
      </w:r>
      <w:r w:rsidR="005339EA">
        <w:rPr>
          <w:rFonts w:ascii="Times New Roman" w:hAnsi="Times New Roman"/>
        </w:rPr>
        <w:fldChar w:fldCharType="end"/>
      </w:r>
      <w:r w:rsidR="005339EA">
        <w:rPr>
          <w:rFonts w:ascii="Times New Roman" w:hAnsi="Times New Roman"/>
        </w:rPr>
        <w:fldChar w:fldCharType="begin"/>
      </w:r>
      <w:r w:rsidR="005339EA">
        <w:rPr>
          <w:rFonts w:ascii="Times New Roman" w:hAnsi="Times New Roman"/>
        </w:rPr>
        <w:instrText xml:space="preserve"> REF _Ref101663762 \r \h </w:instrText>
      </w:r>
      <w:r w:rsidR="005339EA">
        <w:rPr>
          <w:rFonts w:ascii="Times New Roman" w:hAnsi="Times New Roman"/>
        </w:rPr>
      </w:r>
      <w:r w:rsidR="005339EA">
        <w:rPr>
          <w:rFonts w:ascii="Times New Roman" w:hAnsi="Times New Roman"/>
        </w:rPr>
        <w:fldChar w:fldCharType="separate"/>
      </w:r>
      <w:r w:rsidR="004C41F1">
        <w:rPr>
          <w:rFonts w:ascii="Times New Roman" w:hAnsi="Times New Roman"/>
        </w:rPr>
        <w:t>[2]</w:t>
      </w:r>
      <w:r w:rsidR="005339EA">
        <w:rPr>
          <w:rFonts w:ascii="Times New Roman" w:hAnsi="Times New Roman"/>
        </w:rPr>
        <w:fldChar w:fldCharType="end"/>
      </w:r>
      <w:r w:rsidR="00B02B07">
        <w:rPr>
          <w:rFonts w:ascii="Times New Roman" w:hAnsi="Times New Roman"/>
        </w:rPr>
        <w:fldChar w:fldCharType="begin"/>
      </w:r>
      <w:r w:rsidR="00B02B07">
        <w:rPr>
          <w:rFonts w:ascii="Times New Roman" w:hAnsi="Times New Roman"/>
        </w:rPr>
        <w:instrText xml:space="preserve"> REF _Ref86883114 \r \h </w:instrText>
      </w:r>
      <w:r w:rsidR="00B02B07">
        <w:rPr>
          <w:rFonts w:ascii="Times New Roman" w:hAnsi="Times New Roman"/>
        </w:rPr>
      </w:r>
      <w:r w:rsidR="00B02B07">
        <w:rPr>
          <w:rFonts w:ascii="Times New Roman" w:hAnsi="Times New Roman"/>
        </w:rPr>
        <w:fldChar w:fldCharType="separate"/>
      </w:r>
      <w:r w:rsidR="004C41F1">
        <w:rPr>
          <w:rFonts w:ascii="Times New Roman" w:hAnsi="Times New Roman"/>
        </w:rPr>
        <w:t>[3]</w:t>
      </w:r>
      <w:r w:rsidR="00B02B07">
        <w:rPr>
          <w:rFonts w:ascii="Times New Roman" w:hAnsi="Times New Roman"/>
        </w:rPr>
        <w:fldChar w:fldCharType="end"/>
      </w:r>
      <w:r w:rsidR="005339EA">
        <w:rPr>
          <w:rFonts w:ascii="Times New Roman" w:hAnsi="Times New Roman"/>
        </w:rPr>
        <w:t xml:space="preserve">. </w:t>
      </w:r>
      <w:r w:rsidRPr="005240AD">
        <w:rPr>
          <w:rFonts w:ascii="Times New Roman" w:hAnsi="Times New Roman"/>
        </w:rPr>
        <w:t>For each enhancement aspect, the candidate UE features are proposed in each section below.</w:t>
      </w:r>
    </w:p>
    <w:p w14:paraId="6F368817" w14:textId="0E22B5FA" w:rsidR="004000E8" w:rsidRDefault="004000E8" w:rsidP="00CE0424">
      <w:pPr>
        <w:pStyle w:val="Heading1"/>
      </w:pPr>
      <w:bookmarkStart w:id="0" w:name="_Ref178064866"/>
      <w:r w:rsidRPr="00CE0424">
        <w:t>Discussion</w:t>
      </w:r>
      <w:bookmarkEnd w:id="0"/>
    </w:p>
    <w:p w14:paraId="64ABF1AA" w14:textId="7F8FAEC9" w:rsidR="008809EA" w:rsidRDefault="008809EA" w:rsidP="008809EA">
      <w:r w:rsidRPr="005240AD">
        <w:t xml:space="preserve">The remaining open issues from the FL summary </w:t>
      </w:r>
      <w:r w:rsidRPr="005240AD">
        <w:fldChar w:fldCharType="begin"/>
      </w:r>
      <w:r w:rsidRPr="005240AD">
        <w:instrText xml:space="preserve"> REF _Ref86883114 \n \h </w:instrText>
      </w:r>
      <w:r w:rsidR="005240AD">
        <w:instrText xml:space="preserve"> \* MERGEFORMAT </w:instrText>
      </w:r>
      <w:r w:rsidRPr="005240AD">
        <w:fldChar w:fldCharType="separate"/>
      </w:r>
      <w:r w:rsidR="004C41F1">
        <w:t>[3]</w:t>
      </w:r>
      <w:r w:rsidRPr="005240AD">
        <w:fldChar w:fldCharType="end"/>
      </w:r>
      <w:r w:rsidRPr="005240AD">
        <w:t xml:space="preserve"> are discussed in the following sections.</w:t>
      </w:r>
    </w:p>
    <w:p w14:paraId="7A1AE02F" w14:textId="05164EE7" w:rsidR="00344A1C" w:rsidRDefault="00344A1C" w:rsidP="00344A1C">
      <w:pPr>
        <w:pStyle w:val="Heading2"/>
      </w:pPr>
      <w:r>
        <w:t xml:space="preserve">Type of </w:t>
      </w:r>
      <w:r w:rsidR="00326A2E">
        <w:t xml:space="preserve">Remaining </w:t>
      </w:r>
      <w:r>
        <w:t>FG 25-X</w:t>
      </w:r>
    </w:p>
    <w:p w14:paraId="7417685A" w14:textId="3664F34E" w:rsidR="00344A1C" w:rsidRDefault="00344A1C" w:rsidP="00344A1C">
      <w:r>
        <w:t>A question was raised whether to consider FSPC</w:t>
      </w:r>
      <w:r w:rsidR="00326A2E">
        <w:t xml:space="preserve"> or BC</w:t>
      </w:r>
      <w:r>
        <w:t xml:space="preserve"> as the Type for these features. From our perspective, the corresponding functionality of the features under FG 25-X are not affected when testing for different bands. Therefore, it is not </w:t>
      </w:r>
      <w:r>
        <w:rPr>
          <w:rFonts w:eastAsia="MS PGothic"/>
        </w:rPr>
        <w:t>clear that</w:t>
      </w:r>
      <w:r w:rsidRPr="000F4345">
        <w:rPr>
          <w:rFonts w:eastAsia="MS PGothic"/>
          <w:lang w:val="en-US"/>
        </w:rPr>
        <w:t xml:space="preserve"> band differentiation would impact the feature and the corresponding testing.</w:t>
      </w:r>
      <w:r>
        <w:rPr>
          <w:rFonts w:eastAsia="MS PGothic"/>
          <w:lang w:val="en-US"/>
        </w:rPr>
        <w:t xml:space="preserve"> Therefore, we suggest indicating “Per UE” as the Type, and not accept other proposed alternatives such as FSPC. This suggestion is also in line with RAN2 </w:t>
      </w:r>
      <w:r w:rsidRPr="000F4345">
        <w:rPr>
          <w:rFonts w:eastAsia="MS PGothic"/>
          <w:lang w:val="en-US"/>
        </w:rPr>
        <w:t>recommendation,</w:t>
      </w:r>
      <w:r>
        <w:rPr>
          <w:rFonts w:eastAsia="MS PGothic"/>
          <w:lang w:val="en-US"/>
        </w:rPr>
        <w:t xml:space="preserve"> that </w:t>
      </w:r>
      <w:r w:rsidRPr="000F4345">
        <w:rPr>
          <w:rFonts w:eastAsia="MS PGothic"/>
          <w:lang w:val="en-US"/>
        </w:rPr>
        <w:t xml:space="preserve">FSPC </w:t>
      </w:r>
      <w:r>
        <w:rPr>
          <w:rFonts w:eastAsia="MS PGothic"/>
          <w:lang w:val="en-US"/>
        </w:rPr>
        <w:t>indication</w:t>
      </w:r>
      <w:r w:rsidRPr="000F4345">
        <w:rPr>
          <w:rFonts w:eastAsia="MS PGothic"/>
          <w:lang w:val="en-US"/>
        </w:rPr>
        <w:t xml:space="preserve"> should be avoided as much as possible (</w:t>
      </w:r>
      <w:r w:rsidRPr="000F4345">
        <w:rPr>
          <w:rFonts w:cs="Arial"/>
          <w:noProof/>
          <w:szCs w:val="24"/>
        </w:rPr>
        <w:t>R2-2002378)</w:t>
      </w:r>
      <w:r w:rsidR="00326A2E">
        <w:rPr>
          <w:rFonts w:cs="Arial"/>
          <w:noProof/>
          <w:szCs w:val="24"/>
        </w:rPr>
        <w:t>.</w:t>
      </w:r>
    </w:p>
    <w:p w14:paraId="2097C986" w14:textId="51E39125" w:rsidR="00344A1C" w:rsidRPr="005240AD" w:rsidRDefault="00344A1C" w:rsidP="008809EA">
      <w:pPr>
        <w:pStyle w:val="Proposal"/>
      </w:pPr>
      <w:bookmarkStart w:id="1" w:name="_Toc101718888"/>
      <w:r>
        <w:t>Adopt “Per UE” type for remaining FG 25-X.</w:t>
      </w:r>
      <w:bookmarkEnd w:id="1"/>
    </w:p>
    <w:p w14:paraId="467895F0" w14:textId="59836148" w:rsidR="003C71E9" w:rsidRDefault="003C71E9" w:rsidP="00CE0424">
      <w:pPr>
        <w:pStyle w:val="Heading2"/>
      </w:pPr>
      <w:r w:rsidRPr="003C71E9">
        <w:t xml:space="preserve">UE </w:t>
      </w:r>
      <w:r>
        <w:t>F</w:t>
      </w:r>
      <w:r w:rsidRPr="003C71E9">
        <w:t xml:space="preserve">eedback </w:t>
      </w:r>
      <w:r>
        <w:t>E</w:t>
      </w:r>
      <w:r w:rsidRPr="003C71E9">
        <w:t>nhancements for HARQ-ACK</w:t>
      </w:r>
    </w:p>
    <w:p w14:paraId="20FDD92B" w14:textId="0130B0A4" w:rsidR="001B3293" w:rsidRDefault="00D744B5" w:rsidP="00F907D4">
      <w:pPr>
        <w:pStyle w:val="Heading3"/>
      </w:pPr>
      <w:r>
        <w:t xml:space="preserve">FG 25-1: </w:t>
      </w:r>
      <w:r w:rsidR="009028C6">
        <w:t>SPS</w:t>
      </w:r>
      <w:r w:rsidR="001B3293">
        <w:t xml:space="preserve"> HARQ-ACK deferral</w:t>
      </w:r>
    </w:p>
    <w:p w14:paraId="427474B5" w14:textId="6FF1A60C" w:rsidR="001B3293" w:rsidRPr="00044092" w:rsidRDefault="00DF5C98" w:rsidP="00044092">
      <w:pPr>
        <w:overflowPunct/>
        <w:autoSpaceDE/>
        <w:autoSpaceDN/>
        <w:adjustRightInd/>
        <w:spacing w:afterLines="50" w:after="120"/>
        <w:jc w:val="both"/>
        <w:textAlignment w:val="auto"/>
        <w:rPr>
          <w:szCs w:val="24"/>
          <w:lang w:val="en-US"/>
        </w:rPr>
      </w:pPr>
      <w:r w:rsidRPr="00DF5C98">
        <w:t>It has been discussed</w:t>
      </w:r>
      <w:r w:rsidRPr="00DF5C98">
        <w:rPr>
          <w:szCs w:val="24"/>
          <w:lang w:val="en-US"/>
        </w:rPr>
        <w:t xml:space="preserve"> whether/how to revise the prerequisite feature groups for FG 25-1</w:t>
      </w:r>
      <w:r>
        <w:rPr>
          <w:szCs w:val="24"/>
          <w:lang w:val="en-US"/>
        </w:rPr>
        <w:t>. In our view, no revision is needed</w:t>
      </w:r>
      <w:r w:rsidR="007C7A22">
        <w:rPr>
          <w:szCs w:val="24"/>
          <w:lang w:val="en-US"/>
        </w:rPr>
        <w:t xml:space="preserve"> since t</w:t>
      </w:r>
      <w:r w:rsidR="00C74A73">
        <w:rPr>
          <w:szCs w:val="24"/>
          <w:lang w:val="en-US"/>
        </w:rPr>
        <w:t xml:space="preserve">he </w:t>
      </w:r>
      <w:r w:rsidR="00F5199C">
        <w:rPr>
          <w:szCs w:val="24"/>
          <w:lang w:val="en-US"/>
        </w:rPr>
        <w:t>co</w:t>
      </w:r>
      <w:r w:rsidR="00E73812">
        <w:rPr>
          <w:szCs w:val="24"/>
          <w:lang w:val="en-US"/>
        </w:rPr>
        <w:t>mponents of</w:t>
      </w:r>
      <w:r w:rsidR="00F5199C">
        <w:rPr>
          <w:szCs w:val="24"/>
          <w:lang w:val="en-US"/>
        </w:rPr>
        <w:t xml:space="preserve"> this feature</w:t>
      </w:r>
      <w:r w:rsidR="00C74A73">
        <w:rPr>
          <w:szCs w:val="24"/>
          <w:lang w:val="en-US"/>
        </w:rPr>
        <w:t xml:space="preserve"> require </w:t>
      </w:r>
      <w:r w:rsidR="00F5199C">
        <w:rPr>
          <w:szCs w:val="24"/>
          <w:lang w:val="en-US"/>
        </w:rPr>
        <w:t xml:space="preserve">only </w:t>
      </w:r>
      <w:r w:rsidR="00C74A73">
        <w:rPr>
          <w:szCs w:val="24"/>
          <w:lang w:val="en-US"/>
        </w:rPr>
        <w:t>the support of DL SPS</w:t>
      </w:r>
      <w:r w:rsidR="00EC45F1">
        <w:rPr>
          <w:szCs w:val="24"/>
          <w:lang w:val="en-US"/>
        </w:rPr>
        <w:t xml:space="preserve"> and </w:t>
      </w:r>
      <w:r w:rsidR="00E55429">
        <w:rPr>
          <w:szCs w:val="24"/>
          <w:lang w:val="en-US"/>
        </w:rPr>
        <w:t>are not</w:t>
      </w:r>
      <w:r w:rsidR="007C7A22">
        <w:rPr>
          <w:szCs w:val="24"/>
          <w:lang w:val="en-US"/>
        </w:rPr>
        <w:t xml:space="preserve"> dependent on periodicity or multiple configuration</w:t>
      </w:r>
      <w:r w:rsidR="00E55429">
        <w:rPr>
          <w:szCs w:val="24"/>
          <w:lang w:val="en-US"/>
        </w:rPr>
        <w:t>s</w:t>
      </w:r>
      <w:r w:rsidR="007C7A22">
        <w:rPr>
          <w:szCs w:val="24"/>
          <w:lang w:val="en-US"/>
        </w:rPr>
        <w:t xml:space="preserve"> of DL SPS. </w:t>
      </w:r>
    </w:p>
    <w:p w14:paraId="72168D0F" w14:textId="26D7E507" w:rsidR="00EB11EB" w:rsidRDefault="00B173FC" w:rsidP="003427D3">
      <w:pPr>
        <w:pStyle w:val="Proposal"/>
      </w:pPr>
      <w:bookmarkStart w:id="2" w:name="_Toc101718889"/>
      <w:r>
        <w:t xml:space="preserve">Confirm FG </w:t>
      </w:r>
      <w:r w:rsidR="00EB11EB">
        <w:t>5-18 as prerequisite of FG 25-1.</w:t>
      </w:r>
      <w:bookmarkEnd w:id="2"/>
      <w:r w:rsidR="00EB11EB">
        <w:t xml:space="preserve"> </w:t>
      </w:r>
    </w:p>
    <w:p w14:paraId="13D8D836" w14:textId="1A54FE69" w:rsidR="001B3293" w:rsidRDefault="00326A2E" w:rsidP="001B3293">
      <w:pPr>
        <w:pStyle w:val="Heading3"/>
      </w:pPr>
      <w:r>
        <w:t xml:space="preserve">FG </w:t>
      </w:r>
      <w:r w:rsidR="000400E8">
        <w:t>25-</w:t>
      </w:r>
      <w:r w:rsidR="00AE5C9B">
        <w:t xml:space="preserve">2 to 25-3b: </w:t>
      </w:r>
      <w:r w:rsidR="001B3293">
        <w:t>PUCCH repetition enhancements</w:t>
      </w:r>
    </w:p>
    <w:p w14:paraId="2C97FCB4" w14:textId="0A65CF2A" w:rsidR="00616253" w:rsidRDefault="005951B1" w:rsidP="00CB3EC0">
      <w:r w:rsidRPr="005951B1">
        <w:t>It has been discussed</w:t>
      </w:r>
      <w:r w:rsidRPr="005951B1">
        <w:rPr>
          <w:szCs w:val="24"/>
          <w:lang w:val="en-US"/>
        </w:rPr>
        <w:t xml:space="preserve"> whether/how to revise the prerequisite feature groups for </w:t>
      </w:r>
      <w:r w:rsidRPr="005951B1">
        <w:rPr>
          <w:szCs w:val="24"/>
        </w:rPr>
        <w:t>FGs 25-2 to 25-3b</w:t>
      </w:r>
      <w:r>
        <w:rPr>
          <w:szCs w:val="24"/>
        </w:rPr>
        <w:t xml:space="preserve">. </w:t>
      </w:r>
    </w:p>
    <w:tbl>
      <w:tblPr>
        <w:tblW w:w="7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38"/>
        <w:gridCol w:w="5061"/>
        <w:gridCol w:w="1014"/>
      </w:tblGrid>
      <w:tr w:rsidR="00FB12F8" w:rsidRPr="00005B13" w14:paraId="2C3782C8" w14:textId="77777777" w:rsidTr="00FB12F8">
        <w:trPr>
          <w:trHeight w:val="12"/>
        </w:trPr>
        <w:tc>
          <w:tcPr>
            <w:tcW w:w="563" w:type="dxa"/>
            <w:tcBorders>
              <w:top w:val="single" w:sz="4" w:space="0" w:color="auto"/>
              <w:left w:val="single" w:sz="4" w:space="0" w:color="auto"/>
              <w:bottom w:val="single" w:sz="4" w:space="0" w:color="auto"/>
              <w:right w:val="single" w:sz="4" w:space="0" w:color="auto"/>
            </w:tcBorders>
            <w:hideMark/>
          </w:tcPr>
          <w:p w14:paraId="24A913DC" w14:textId="77777777" w:rsidR="00FB12F8" w:rsidRDefault="00FB12F8" w:rsidP="00AE26E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25-2</w:t>
            </w:r>
          </w:p>
        </w:tc>
        <w:tc>
          <w:tcPr>
            <w:tcW w:w="1238" w:type="dxa"/>
            <w:tcBorders>
              <w:top w:val="single" w:sz="4" w:space="0" w:color="auto"/>
              <w:left w:val="single" w:sz="4" w:space="0" w:color="auto"/>
              <w:bottom w:val="single" w:sz="4" w:space="0" w:color="auto"/>
              <w:right w:val="single" w:sz="4" w:space="0" w:color="auto"/>
            </w:tcBorders>
            <w:hideMark/>
          </w:tcPr>
          <w:p w14:paraId="056BA25C" w14:textId="77777777" w:rsidR="00FB12F8" w:rsidRDefault="00FB12F8" w:rsidP="00AE26EF">
            <w:pPr>
              <w:pStyle w:val="TAL"/>
              <w:rPr>
                <w:rFonts w:asciiTheme="majorHAnsi" w:eastAsia="SimSun" w:hAnsiTheme="majorHAnsi" w:cstheme="majorHAnsi"/>
                <w:szCs w:val="18"/>
                <w:lang w:eastAsia="zh-CN"/>
              </w:rPr>
            </w:pPr>
            <w:r>
              <w:t>Repetitions for PUCCH format 0, and 2 over multiple slots with K = 2, 4, 8</w:t>
            </w:r>
          </w:p>
        </w:tc>
        <w:tc>
          <w:tcPr>
            <w:tcW w:w="5061" w:type="dxa"/>
            <w:tcBorders>
              <w:top w:val="single" w:sz="4" w:space="0" w:color="auto"/>
              <w:left w:val="single" w:sz="4" w:space="0" w:color="auto"/>
              <w:bottom w:val="single" w:sz="4" w:space="0" w:color="auto"/>
              <w:right w:val="single" w:sz="4" w:space="0" w:color="auto"/>
            </w:tcBorders>
            <w:hideMark/>
          </w:tcPr>
          <w:p w14:paraId="0D40692F" w14:textId="77777777" w:rsidR="00FB12F8" w:rsidRDefault="00FB12F8" w:rsidP="00AE26EF">
            <w:pPr>
              <w:pStyle w:val="ListParagraph"/>
              <w:snapToGrid w:val="0"/>
              <w:spacing w:afterLines="50" w:after="12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014" w:type="dxa"/>
            <w:tcBorders>
              <w:top w:val="single" w:sz="4" w:space="0" w:color="auto"/>
              <w:left w:val="single" w:sz="4" w:space="0" w:color="auto"/>
              <w:bottom w:val="single" w:sz="4" w:space="0" w:color="auto"/>
              <w:right w:val="single" w:sz="4" w:space="0" w:color="auto"/>
            </w:tcBorders>
            <w:shd w:val="clear" w:color="auto" w:fill="auto"/>
            <w:hideMark/>
          </w:tcPr>
          <w:p w14:paraId="7B0FE7AB" w14:textId="77777777" w:rsidR="00FB12F8" w:rsidRPr="00005B13" w:rsidRDefault="00FB12F8" w:rsidP="00AE26EF">
            <w:pPr>
              <w:pStyle w:val="TAL"/>
              <w:rPr>
                <w:rFonts w:asciiTheme="majorHAnsi" w:hAnsiTheme="majorHAnsi" w:cstheme="majorHAnsi"/>
                <w:szCs w:val="18"/>
                <w:highlight w:val="yellow"/>
              </w:rPr>
            </w:pPr>
            <w:r w:rsidRPr="00005B13">
              <w:rPr>
                <w:highlight w:val="yellow"/>
              </w:rPr>
              <w:t>[4-23]</w:t>
            </w:r>
          </w:p>
        </w:tc>
      </w:tr>
      <w:tr w:rsidR="00FB12F8" w:rsidRPr="00005B13" w14:paraId="2119D702" w14:textId="77777777" w:rsidTr="00FB12F8">
        <w:trPr>
          <w:trHeight w:val="12"/>
        </w:trPr>
        <w:tc>
          <w:tcPr>
            <w:tcW w:w="563" w:type="dxa"/>
            <w:tcBorders>
              <w:top w:val="single" w:sz="4" w:space="0" w:color="auto"/>
              <w:left w:val="single" w:sz="4" w:space="0" w:color="auto"/>
              <w:bottom w:val="single" w:sz="4" w:space="0" w:color="auto"/>
              <w:right w:val="single" w:sz="4" w:space="0" w:color="auto"/>
            </w:tcBorders>
            <w:hideMark/>
          </w:tcPr>
          <w:p w14:paraId="68A10FA4" w14:textId="77777777" w:rsidR="00FB12F8" w:rsidRDefault="00FB12F8" w:rsidP="00AE26EF">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238" w:type="dxa"/>
            <w:tcBorders>
              <w:top w:val="single" w:sz="4" w:space="0" w:color="auto"/>
              <w:left w:val="single" w:sz="4" w:space="0" w:color="auto"/>
              <w:bottom w:val="single" w:sz="4" w:space="0" w:color="auto"/>
              <w:right w:val="single" w:sz="4" w:space="0" w:color="auto"/>
            </w:tcBorders>
            <w:hideMark/>
          </w:tcPr>
          <w:p w14:paraId="05E1F061" w14:textId="77777777" w:rsidR="00FB12F8" w:rsidRDefault="00FB12F8" w:rsidP="00AE26EF">
            <w:pPr>
              <w:pStyle w:val="TAL"/>
              <w:rPr>
                <w:rFonts w:asciiTheme="majorHAnsi" w:eastAsia="SimSun" w:hAnsiTheme="majorHAnsi" w:cstheme="majorHAnsi"/>
                <w:szCs w:val="18"/>
                <w:lang w:eastAsia="zh-CN"/>
              </w:rPr>
            </w:pPr>
            <w:r>
              <w:rPr>
                <w:lang w:eastAsia="ja-JP"/>
              </w:rPr>
              <w:t xml:space="preserve">Repetitions for PUCCH format 0, 1, 2, 3 and 4 over multiple PUCCH </w:t>
            </w:r>
            <w:proofErr w:type="spellStart"/>
            <w:r>
              <w:rPr>
                <w:lang w:eastAsia="ja-JP"/>
              </w:rPr>
              <w:t>subslots</w:t>
            </w:r>
            <w:proofErr w:type="spellEnd"/>
            <w:r>
              <w:rPr>
                <w:lang w:eastAsia="ja-JP"/>
              </w:rPr>
              <w:t xml:space="preserve"> with configured K = 2, 4, 8</w:t>
            </w:r>
          </w:p>
        </w:tc>
        <w:tc>
          <w:tcPr>
            <w:tcW w:w="5061" w:type="dxa"/>
            <w:tcBorders>
              <w:top w:val="single" w:sz="4" w:space="0" w:color="auto"/>
              <w:left w:val="single" w:sz="4" w:space="0" w:color="auto"/>
              <w:bottom w:val="single" w:sz="4" w:space="0" w:color="auto"/>
              <w:right w:val="single" w:sz="4" w:space="0" w:color="auto"/>
            </w:tcBorders>
            <w:hideMark/>
          </w:tcPr>
          <w:p w14:paraId="47CF7EFF" w14:textId="77777777" w:rsidR="00FB12F8" w:rsidRDefault="00FB12F8" w:rsidP="00AE26E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w:t>
            </w:r>
            <w:proofErr w:type="spellStart"/>
            <w:r>
              <w:rPr>
                <w:rFonts w:asciiTheme="majorHAnsi" w:hAnsiTheme="majorHAnsi" w:cstheme="majorHAnsi"/>
                <w:sz w:val="18"/>
                <w:szCs w:val="18"/>
              </w:rPr>
              <w:t>subslots</w:t>
            </w:r>
            <w:proofErr w:type="spellEnd"/>
            <w:r>
              <w:rPr>
                <w:rFonts w:asciiTheme="majorHAnsi" w:hAnsiTheme="majorHAnsi" w:cstheme="majorHAnsi"/>
                <w:sz w:val="18"/>
                <w:szCs w:val="18"/>
              </w:rPr>
              <w:t xml:space="preserve"> with RRC configured repetition factor K = 2, 4, 8</w:t>
            </w:r>
          </w:p>
          <w:p w14:paraId="7E47DA98" w14:textId="77777777" w:rsidR="00FB12F8" w:rsidRDefault="00FB12F8" w:rsidP="00AE26E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014" w:type="dxa"/>
            <w:tcBorders>
              <w:top w:val="single" w:sz="4" w:space="0" w:color="auto"/>
              <w:left w:val="single" w:sz="4" w:space="0" w:color="auto"/>
              <w:bottom w:val="single" w:sz="4" w:space="0" w:color="auto"/>
              <w:right w:val="single" w:sz="4" w:space="0" w:color="auto"/>
            </w:tcBorders>
            <w:shd w:val="clear" w:color="auto" w:fill="auto"/>
            <w:hideMark/>
          </w:tcPr>
          <w:p w14:paraId="2599F0E2" w14:textId="77777777" w:rsidR="00FB12F8" w:rsidRPr="00005B13" w:rsidRDefault="00FB12F8" w:rsidP="00AE26EF">
            <w:pPr>
              <w:pStyle w:val="TAL"/>
              <w:rPr>
                <w:highlight w:val="yellow"/>
              </w:rPr>
            </w:pPr>
            <w:r w:rsidRPr="00005B13">
              <w:rPr>
                <w:highlight w:val="yellow"/>
              </w:rPr>
              <w:t>[4-23]</w:t>
            </w:r>
          </w:p>
          <w:p w14:paraId="1DBAC4BA" w14:textId="77777777" w:rsidR="00FB12F8" w:rsidRPr="00005B13" w:rsidRDefault="00FB12F8" w:rsidP="00AE26EF">
            <w:pPr>
              <w:pStyle w:val="TAL"/>
              <w:rPr>
                <w:rFonts w:asciiTheme="majorHAnsi" w:hAnsiTheme="majorHAnsi" w:cstheme="majorHAnsi"/>
                <w:szCs w:val="18"/>
                <w:highlight w:val="yellow"/>
              </w:rPr>
            </w:pPr>
            <w:r w:rsidRPr="00005B13">
              <w:rPr>
                <w:highlight w:val="yellow"/>
              </w:rPr>
              <w:t>[11-3]</w:t>
            </w:r>
          </w:p>
        </w:tc>
      </w:tr>
      <w:tr w:rsidR="00FB12F8" w:rsidRPr="00005B13" w14:paraId="030F6C22" w14:textId="77777777" w:rsidTr="00FB12F8">
        <w:trPr>
          <w:trHeight w:val="12"/>
        </w:trPr>
        <w:tc>
          <w:tcPr>
            <w:tcW w:w="563" w:type="dxa"/>
            <w:tcBorders>
              <w:top w:val="single" w:sz="4" w:space="0" w:color="auto"/>
              <w:left w:val="single" w:sz="4" w:space="0" w:color="auto"/>
              <w:bottom w:val="single" w:sz="4" w:space="0" w:color="auto"/>
              <w:right w:val="single" w:sz="4" w:space="0" w:color="auto"/>
            </w:tcBorders>
            <w:hideMark/>
          </w:tcPr>
          <w:p w14:paraId="775A2D7B" w14:textId="77777777" w:rsidR="00FB12F8" w:rsidRDefault="00FB12F8" w:rsidP="00AE26EF">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238" w:type="dxa"/>
            <w:tcBorders>
              <w:top w:val="single" w:sz="4" w:space="0" w:color="auto"/>
              <w:left w:val="single" w:sz="4" w:space="0" w:color="auto"/>
              <w:bottom w:val="single" w:sz="4" w:space="0" w:color="auto"/>
              <w:right w:val="single" w:sz="4" w:space="0" w:color="auto"/>
            </w:tcBorders>
            <w:hideMark/>
          </w:tcPr>
          <w:p w14:paraId="598FCC01" w14:textId="77777777" w:rsidR="00FB12F8" w:rsidRDefault="00FB12F8" w:rsidP="00AE26EF">
            <w:pPr>
              <w:pStyle w:val="TAL"/>
              <w:rPr>
                <w:lang w:eastAsia="ja-JP"/>
              </w:rPr>
            </w:pPr>
            <w:r>
              <w:rPr>
                <w:lang w:eastAsia="ja-JP"/>
              </w:rPr>
              <w:t xml:space="preserve">Repetitions for PUCCH format 0, 1, 2, 3 and 4 over multiple PUCCH </w:t>
            </w:r>
            <w:proofErr w:type="spellStart"/>
            <w:r>
              <w:rPr>
                <w:lang w:eastAsia="ja-JP"/>
              </w:rPr>
              <w:t>subslots</w:t>
            </w:r>
            <w:proofErr w:type="spellEnd"/>
            <w:r>
              <w:rPr>
                <w:lang w:eastAsia="ja-JP"/>
              </w:rPr>
              <w:t xml:space="preserve"> using dynamic repetition indication </w:t>
            </w:r>
          </w:p>
        </w:tc>
        <w:tc>
          <w:tcPr>
            <w:tcW w:w="5061" w:type="dxa"/>
            <w:tcBorders>
              <w:top w:val="single" w:sz="4" w:space="0" w:color="auto"/>
              <w:left w:val="single" w:sz="4" w:space="0" w:color="auto"/>
              <w:bottom w:val="single" w:sz="4" w:space="0" w:color="auto"/>
              <w:right w:val="single" w:sz="4" w:space="0" w:color="auto"/>
            </w:tcBorders>
            <w:hideMark/>
          </w:tcPr>
          <w:p w14:paraId="7C923A2C" w14:textId="77777777" w:rsidR="00FB12F8" w:rsidRDefault="00FB12F8" w:rsidP="00AE26E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w:t>
            </w:r>
            <w:proofErr w:type="spellStart"/>
            <w:r>
              <w:rPr>
                <w:rFonts w:asciiTheme="majorHAnsi" w:hAnsiTheme="majorHAnsi" w:cstheme="majorHAnsi"/>
                <w:sz w:val="18"/>
                <w:szCs w:val="18"/>
              </w:rPr>
              <w:t>subslots</w:t>
            </w:r>
            <w:proofErr w:type="spellEnd"/>
            <w:r>
              <w:rPr>
                <w:rFonts w:asciiTheme="majorHAnsi" w:hAnsiTheme="majorHAnsi" w:cstheme="majorHAnsi"/>
                <w:sz w:val="18"/>
                <w:szCs w:val="18"/>
              </w:rPr>
              <w:t xml:space="preserve"> based on dynamic repetition indication. </w:t>
            </w:r>
          </w:p>
          <w:p w14:paraId="10CE94D6" w14:textId="77777777" w:rsidR="00FB12F8" w:rsidRDefault="00FB12F8" w:rsidP="00AE26E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D</w:t>
            </w:r>
            <w:r w:rsidRPr="0012288E">
              <w:rPr>
                <w:rFonts w:asciiTheme="majorHAnsi" w:hAnsiTheme="majorHAnsi" w:cstheme="majorHAnsi"/>
                <w:sz w:val="18"/>
                <w:szCs w:val="18"/>
              </w:rPr>
              <w:t>ynamic PUCCH repetition factor indication is only supported for HARQ-ACK</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60308A1E" w14:textId="77777777" w:rsidR="00FB12F8" w:rsidRPr="00005B13" w:rsidRDefault="00FB12F8" w:rsidP="00AE26EF">
            <w:pPr>
              <w:pStyle w:val="TAL"/>
              <w:rPr>
                <w:highlight w:val="yellow"/>
              </w:rPr>
            </w:pPr>
            <w:r w:rsidRPr="00005B13">
              <w:rPr>
                <w:highlight w:val="yellow"/>
              </w:rPr>
              <w:t>[25-3</w:t>
            </w:r>
          </w:p>
          <w:p w14:paraId="412F7977" w14:textId="77777777" w:rsidR="00FB12F8" w:rsidRPr="00005B13" w:rsidRDefault="00FB12F8" w:rsidP="00AE26EF">
            <w:pPr>
              <w:pStyle w:val="TAL"/>
              <w:rPr>
                <w:highlight w:val="yellow"/>
              </w:rPr>
            </w:pPr>
            <w:r w:rsidRPr="00005B13">
              <w:rPr>
                <w:highlight w:val="yellow"/>
              </w:rPr>
              <w:t>30-5]</w:t>
            </w:r>
          </w:p>
          <w:p w14:paraId="55539888" w14:textId="77777777" w:rsidR="00FB12F8" w:rsidRPr="00005B13" w:rsidRDefault="00FB12F8" w:rsidP="00AE26EF">
            <w:pPr>
              <w:pStyle w:val="TAL"/>
              <w:rPr>
                <w:highlight w:val="yellow"/>
              </w:rPr>
            </w:pPr>
          </w:p>
        </w:tc>
      </w:tr>
      <w:tr w:rsidR="00FB12F8" w:rsidRPr="00005B13" w14:paraId="4AE67111" w14:textId="77777777" w:rsidTr="00FB12F8">
        <w:trPr>
          <w:trHeight w:val="12"/>
        </w:trPr>
        <w:tc>
          <w:tcPr>
            <w:tcW w:w="563" w:type="dxa"/>
            <w:tcBorders>
              <w:top w:val="single" w:sz="4" w:space="0" w:color="auto"/>
              <w:left w:val="single" w:sz="4" w:space="0" w:color="auto"/>
              <w:bottom w:val="single" w:sz="4" w:space="0" w:color="auto"/>
              <w:right w:val="single" w:sz="4" w:space="0" w:color="auto"/>
            </w:tcBorders>
          </w:tcPr>
          <w:p w14:paraId="01B3F5D9" w14:textId="77777777" w:rsidR="00FB12F8" w:rsidRDefault="00FB12F8" w:rsidP="00AE26EF">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238" w:type="dxa"/>
            <w:tcBorders>
              <w:top w:val="single" w:sz="4" w:space="0" w:color="auto"/>
              <w:left w:val="single" w:sz="4" w:space="0" w:color="auto"/>
              <w:bottom w:val="single" w:sz="4" w:space="0" w:color="auto"/>
              <w:right w:val="single" w:sz="4" w:space="0" w:color="auto"/>
            </w:tcBorders>
          </w:tcPr>
          <w:p w14:paraId="6FEB40BA" w14:textId="77777777" w:rsidR="00FB12F8" w:rsidRDefault="00FB12F8" w:rsidP="00AE26EF">
            <w:pPr>
              <w:pStyle w:val="TAL"/>
              <w:rPr>
                <w:lang w:eastAsia="ja-JP"/>
              </w:rPr>
            </w:pPr>
            <w:r>
              <w:rPr>
                <w:lang w:eastAsia="ja-JP"/>
              </w:rPr>
              <w:t>I</w:t>
            </w:r>
            <w:r w:rsidRPr="00AE7F2C">
              <w:rPr>
                <w:lang w:eastAsia="ja-JP"/>
              </w:rPr>
              <w:t>nter-</w:t>
            </w:r>
            <w:proofErr w:type="spellStart"/>
            <w:r w:rsidRPr="00AE7F2C">
              <w:rPr>
                <w:lang w:eastAsia="ja-JP"/>
              </w:rPr>
              <w:t>subslot</w:t>
            </w:r>
            <w:proofErr w:type="spellEnd"/>
            <w:r w:rsidRPr="00AE7F2C">
              <w:rPr>
                <w:lang w:eastAsia="ja-JP"/>
              </w:rPr>
              <w:t xml:space="preserve"> frequency hopping for PUCCH repetitions</w:t>
            </w:r>
          </w:p>
        </w:tc>
        <w:tc>
          <w:tcPr>
            <w:tcW w:w="5061" w:type="dxa"/>
            <w:tcBorders>
              <w:top w:val="single" w:sz="4" w:space="0" w:color="auto"/>
              <w:left w:val="single" w:sz="4" w:space="0" w:color="auto"/>
              <w:bottom w:val="single" w:sz="4" w:space="0" w:color="auto"/>
              <w:right w:val="single" w:sz="4" w:space="0" w:color="auto"/>
            </w:tcBorders>
          </w:tcPr>
          <w:p w14:paraId="2F1F0791" w14:textId="01CBAB2A" w:rsidR="00FB12F8" w:rsidRPr="00550FD7" w:rsidRDefault="00FB12F8" w:rsidP="00AE26EF">
            <w:pPr>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w:t>
            </w:r>
            <w:proofErr w:type="spellStart"/>
            <w:r w:rsidR="00FB6A4F" w:rsidRPr="00FB6A4F">
              <w:rPr>
                <w:rFonts w:asciiTheme="majorHAnsi" w:eastAsiaTheme="minorEastAsia" w:hAnsiTheme="majorHAnsi" w:cstheme="majorHAnsi"/>
                <w:color w:val="FF0000"/>
                <w:sz w:val="18"/>
                <w:szCs w:val="18"/>
              </w:rPr>
              <w:t>sub</w:t>
            </w:r>
            <w:r w:rsidRPr="00550FD7">
              <w:rPr>
                <w:rFonts w:asciiTheme="majorHAnsi" w:eastAsiaTheme="minorEastAsia" w:hAnsiTheme="majorHAnsi" w:cstheme="majorHAnsi"/>
                <w:sz w:val="18"/>
                <w:szCs w:val="18"/>
              </w:rPr>
              <w:t>slot</w:t>
            </w:r>
            <w:proofErr w:type="spellEnd"/>
            <w:r w:rsidRPr="00550FD7">
              <w:rPr>
                <w:rFonts w:asciiTheme="majorHAnsi" w:eastAsiaTheme="minorEastAsia" w:hAnsiTheme="majorHAnsi" w:cstheme="majorHAnsi"/>
                <w:sz w:val="18"/>
                <w:szCs w:val="18"/>
              </w:rPr>
              <w:t>-based PUCCH configurations.</w:t>
            </w:r>
          </w:p>
          <w:p w14:paraId="54721C84" w14:textId="62D47323" w:rsidR="00FB12F8" w:rsidRPr="00550FD7" w:rsidRDefault="00FB12F8" w:rsidP="00AE26EF">
            <w:pPr>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w:t>
            </w:r>
            <w:proofErr w:type="spellStart"/>
            <w:r w:rsidR="00FB6A4F" w:rsidRPr="00FB6A4F">
              <w:rPr>
                <w:rFonts w:asciiTheme="majorHAnsi" w:eastAsiaTheme="minorEastAsia" w:hAnsiTheme="majorHAnsi" w:cstheme="majorHAnsi"/>
                <w:color w:val="FF0000"/>
                <w:sz w:val="18"/>
                <w:szCs w:val="18"/>
              </w:rPr>
              <w:t>sub</w:t>
            </w:r>
            <w:r w:rsidRPr="00550FD7">
              <w:rPr>
                <w:rFonts w:asciiTheme="majorHAnsi" w:eastAsiaTheme="minorEastAsia" w:hAnsiTheme="majorHAnsi" w:cstheme="majorHAnsi"/>
                <w:sz w:val="18"/>
                <w:szCs w:val="18"/>
              </w:rPr>
              <w:t>slot</w:t>
            </w:r>
            <w:proofErr w:type="spellEnd"/>
            <w:r w:rsidRPr="00550FD7">
              <w:rPr>
                <w:rFonts w:asciiTheme="majorHAnsi" w:eastAsiaTheme="minorEastAsia" w:hAnsiTheme="majorHAnsi" w:cstheme="majorHAnsi"/>
                <w:sz w:val="18"/>
                <w:szCs w:val="18"/>
              </w:rPr>
              <w:t>-based PUCCH configurations</w:t>
            </w:r>
          </w:p>
          <w:p w14:paraId="38BCE1CC" w14:textId="77777777" w:rsidR="00FB12F8" w:rsidRDefault="00FB12F8" w:rsidP="00AE26EF">
            <w:pPr>
              <w:snapToGrid w:val="0"/>
              <w:spacing w:afterLines="50" w:after="120"/>
              <w:contextualSpacing/>
              <w:jc w:val="both"/>
              <w:rPr>
                <w:rFonts w:asciiTheme="majorHAnsi" w:hAnsiTheme="majorHAnsi" w:cstheme="majorHAnsi"/>
                <w:sz w:val="18"/>
                <w:szCs w:val="18"/>
              </w:rPr>
            </w:pP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412F33E3" w14:textId="77777777" w:rsidR="00FB12F8" w:rsidRPr="00005B13" w:rsidRDefault="00FB12F8" w:rsidP="00AE26EF">
            <w:pPr>
              <w:pStyle w:val="TAL"/>
              <w:rPr>
                <w:highlight w:val="yellow"/>
              </w:rPr>
            </w:pPr>
            <w:r w:rsidRPr="00005B13">
              <w:rPr>
                <w:highlight w:val="yellow"/>
              </w:rPr>
              <w:t>[TBD]</w:t>
            </w:r>
          </w:p>
        </w:tc>
      </w:tr>
    </w:tbl>
    <w:p w14:paraId="14DE066C" w14:textId="77777777" w:rsidR="00FB12F8" w:rsidRDefault="00FB12F8" w:rsidP="00CB3EC0">
      <w:pPr>
        <w:rPr>
          <w:highlight w:val="yellow"/>
        </w:rPr>
      </w:pPr>
    </w:p>
    <w:p w14:paraId="7FB2ADEF" w14:textId="1996D814" w:rsidR="00383FDF" w:rsidRDefault="00C22F12" w:rsidP="00CB3EC0">
      <w:proofErr w:type="gramStart"/>
      <w:r>
        <w:t>In order to</w:t>
      </w:r>
      <w:proofErr w:type="gramEnd"/>
      <w:r>
        <w:t xml:space="preserve"> </w:t>
      </w:r>
      <w:r w:rsidR="009C1822">
        <w:t xml:space="preserve">examine the dependency between </w:t>
      </w:r>
      <w:r w:rsidR="00B50F4E">
        <w:t>the</w:t>
      </w:r>
      <w:r w:rsidR="001E0E2F">
        <w:t xml:space="preserve">se </w:t>
      </w:r>
      <w:r w:rsidR="009C1822">
        <w:t>feature groups</w:t>
      </w:r>
      <w:r w:rsidR="001E0E2F">
        <w:t xml:space="preserve"> to determine the corresponding prerequisites</w:t>
      </w:r>
      <w:r w:rsidR="009C1822">
        <w:t xml:space="preserve">, </w:t>
      </w:r>
      <w:r w:rsidR="00B50F4E">
        <w:t>FG 4-23 and FG 30-5 are provided below as well.</w:t>
      </w:r>
    </w:p>
    <w:tbl>
      <w:tblPr>
        <w:tblW w:w="7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40"/>
        <w:gridCol w:w="5069"/>
        <w:gridCol w:w="1016"/>
      </w:tblGrid>
      <w:tr w:rsidR="00383FDF" w:rsidRPr="006C6E0F" w14:paraId="294B76AC" w14:textId="77777777" w:rsidTr="00383FDF">
        <w:trPr>
          <w:trHeight w:val="11"/>
        </w:trPr>
        <w:tc>
          <w:tcPr>
            <w:tcW w:w="564" w:type="dxa"/>
            <w:tcBorders>
              <w:top w:val="single" w:sz="4" w:space="0" w:color="auto"/>
              <w:left w:val="single" w:sz="4" w:space="0" w:color="auto"/>
              <w:bottom w:val="single" w:sz="4" w:space="0" w:color="auto"/>
              <w:right w:val="single" w:sz="4" w:space="0" w:color="auto"/>
            </w:tcBorders>
            <w:shd w:val="clear" w:color="auto" w:fill="auto"/>
            <w:hideMark/>
          </w:tcPr>
          <w:p w14:paraId="6208D40A" w14:textId="77777777" w:rsidR="00383FDF" w:rsidRPr="00383FDF" w:rsidRDefault="00383FDF" w:rsidP="00AE26EF">
            <w:pPr>
              <w:pStyle w:val="TAL"/>
              <w:rPr>
                <w:rFonts w:asciiTheme="majorHAnsi" w:hAnsiTheme="majorHAnsi" w:cstheme="majorHAnsi"/>
                <w:szCs w:val="18"/>
                <w:lang w:eastAsia="zh-CN"/>
              </w:rPr>
            </w:pPr>
            <w:r w:rsidRPr="00383FDF">
              <w:rPr>
                <w:rFonts w:asciiTheme="majorHAnsi" w:hAnsiTheme="majorHAnsi" w:cstheme="majorHAnsi"/>
                <w:szCs w:val="18"/>
                <w:lang w:eastAsia="zh-CN"/>
              </w:rPr>
              <w:t>4-23</w:t>
            </w:r>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07BB80D7" w14:textId="77777777" w:rsidR="00383FDF" w:rsidRPr="00383FDF" w:rsidRDefault="00383FDF" w:rsidP="00AE26EF">
            <w:pPr>
              <w:pStyle w:val="TAL"/>
              <w:rPr>
                <w:rFonts w:asciiTheme="majorHAnsi" w:eastAsia="SimSun" w:hAnsiTheme="majorHAnsi" w:cstheme="majorHAnsi"/>
                <w:szCs w:val="18"/>
                <w:lang w:eastAsia="zh-CN"/>
              </w:rPr>
            </w:pPr>
            <w:r w:rsidRPr="00383FDF">
              <w:rPr>
                <w:rFonts w:asciiTheme="majorHAnsi" w:eastAsia="SimSun" w:hAnsiTheme="majorHAnsi" w:cstheme="majorHAnsi"/>
                <w:szCs w:val="18"/>
                <w:lang w:eastAsia="zh-CN"/>
              </w:rPr>
              <w:t>Repetitions for PUCCH format 1, 3, and 4 over multiple slots with K = 2, 4, 8</w:t>
            </w:r>
          </w:p>
        </w:tc>
        <w:tc>
          <w:tcPr>
            <w:tcW w:w="5069" w:type="dxa"/>
            <w:tcBorders>
              <w:top w:val="single" w:sz="4" w:space="0" w:color="auto"/>
              <w:left w:val="single" w:sz="4" w:space="0" w:color="auto"/>
              <w:bottom w:val="single" w:sz="4" w:space="0" w:color="auto"/>
              <w:right w:val="single" w:sz="4" w:space="0" w:color="auto"/>
            </w:tcBorders>
            <w:shd w:val="clear" w:color="auto" w:fill="auto"/>
            <w:hideMark/>
          </w:tcPr>
          <w:p w14:paraId="3F4A7F96" w14:textId="77777777" w:rsidR="00383FDF" w:rsidRPr="00383FDF" w:rsidRDefault="00383FDF" w:rsidP="00383FDF">
            <w:pPr>
              <w:snapToGrid w:val="0"/>
              <w:spacing w:afterLines="50" w:after="120"/>
              <w:contextualSpacing/>
              <w:jc w:val="both"/>
              <w:rPr>
                <w:rFonts w:asciiTheme="majorHAnsi" w:eastAsia="SimSun" w:hAnsiTheme="majorHAnsi" w:cstheme="majorHAnsi"/>
                <w:sz w:val="18"/>
                <w:szCs w:val="18"/>
                <w:lang w:eastAsia="zh-CN"/>
              </w:rPr>
            </w:pPr>
            <w:r w:rsidRPr="00383FDF">
              <w:rPr>
                <w:rFonts w:asciiTheme="majorHAnsi" w:eastAsia="SimSun" w:hAnsiTheme="majorHAnsi" w:cstheme="majorHAnsi"/>
                <w:sz w:val="18"/>
                <w:szCs w:val="18"/>
                <w:lang w:eastAsia="zh-CN"/>
              </w:rPr>
              <w:t>Repetitions for PUCCH format 1, 3, and 4 over multiple slots with K = 2, 4, 8</w:t>
            </w:r>
          </w:p>
        </w:tc>
        <w:tc>
          <w:tcPr>
            <w:tcW w:w="1016" w:type="dxa"/>
            <w:tcBorders>
              <w:top w:val="single" w:sz="4" w:space="0" w:color="auto"/>
              <w:left w:val="single" w:sz="4" w:space="0" w:color="auto"/>
              <w:bottom w:val="single" w:sz="4" w:space="0" w:color="auto"/>
              <w:right w:val="single" w:sz="4" w:space="0" w:color="auto"/>
            </w:tcBorders>
            <w:shd w:val="clear" w:color="auto" w:fill="auto"/>
            <w:hideMark/>
          </w:tcPr>
          <w:p w14:paraId="280D8246" w14:textId="77777777" w:rsidR="00383FDF" w:rsidRPr="00383FDF" w:rsidRDefault="00383FDF" w:rsidP="00AE26EF">
            <w:pPr>
              <w:pStyle w:val="TAL"/>
              <w:rPr>
                <w:rFonts w:asciiTheme="majorHAnsi" w:hAnsiTheme="majorHAnsi" w:cstheme="majorHAnsi"/>
                <w:szCs w:val="18"/>
                <w:highlight w:val="yellow"/>
                <w:lang w:eastAsia="zh-CN"/>
              </w:rPr>
            </w:pPr>
          </w:p>
        </w:tc>
      </w:tr>
      <w:tr w:rsidR="0078234A" w:rsidRPr="00197D1E" w14:paraId="1A0428DA" w14:textId="77777777" w:rsidTr="0078234A">
        <w:trPr>
          <w:trHeight w:val="11"/>
        </w:trPr>
        <w:tc>
          <w:tcPr>
            <w:tcW w:w="564" w:type="dxa"/>
            <w:tcBorders>
              <w:top w:val="single" w:sz="4" w:space="0" w:color="auto"/>
              <w:left w:val="single" w:sz="4" w:space="0" w:color="auto"/>
              <w:bottom w:val="single" w:sz="4" w:space="0" w:color="auto"/>
              <w:right w:val="single" w:sz="4" w:space="0" w:color="auto"/>
            </w:tcBorders>
            <w:shd w:val="clear" w:color="auto" w:fill="auto"/>
            <w:hideMark/>
          </w:tcPr>
          <w:p w14:paraId="3D1720ED" w14:textId="77777777" w:rsidR="0078234A" w:rsidRDefault="0078234A" w:rsidP="00AE26EF">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3B570A3A" w14:textId="77777777" w:rsidR="0078234A" w:rsidRDefault="0078234A" w:rsidP="00AE26E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5069" w:type="dxa"/>
            <w:tcBorders>
              <w:top w:val="single" w:sz="4" w:space="0" w:color="auto"/>
              <w:left w:val="single" w:sz="4" w:space="0" w:color="auto"/>
              <w:bottom w:val="single" w:sz="4" w:space="0" w:color="auto"/>
              <w:right w:val="single" w:sz="4" w:space="0" w:color="auto"/>
            </w:tcBorders>
            <w:shd w:val="clear" w:color="auto" w:fill="auto"/>
            <w:hideMark/>
          </w:tcPr>
          <w:p w14:paraId="15301CA7" w14:textId="77777777" w:rsidR="0078234A" w:rsidRDefault="0078234A" w:rsidP="00AE26EF">
            <w:pPr>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71C7F461" w14:textId="77777777" w:rsidR="0078234A" w:rsidRDefault="0078234A" w:rsidP="00AE26EF">
            <w:pPr>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1EF7128B" w14:textId="77777777" w:rsidR="0078234A" w:rsidRDefault="0078234A" w:rsidP="00AE26EF">
            <w:pPr>
              <w:snapToGrid w:val="0"/>
              <w:spacing w:afterLines="50" w:after="120"/>
              <w:contextualSpacing/>
              <w:jc w:val="both"/>
              <w:rPr>
                <w:rFonts w:asciiTheme="majorHAnsi" w:hAnsiTheme="majorHAnsi" w:cstheme="majorHAnsi"/>
                <w:sz w:val="18"/>
                <w:szCs w:val="18"/>
              </w:rPr>
            </w:pPr>
          </w:p>
        </w:tc>
        <w:tc>
          <w:tcPr>
            <w:tcW w:w="1016" w:type="dxa"/>
            <w:tcBorders>
              <w:top w:val="single" w:sz="4" w:space="0" w:color="auto"/>
              <w:left w:val="single" w:sz="4" w:space="0" w:color="auto"/>
              <w:bottom w:val="single" w:sz="4" w:space="0" w:color="auto"/>
              <w:right w:val="single" w:sz="4" w:space="0" w:color="auto"/>
            </w:tcBorders>
            <w:shd w:val="clear" w:color="auto" w:fill="auto"/>
            <w:hideMark/>
          </w:tcPr>
          <w:p w14:paraId="078F2828" w14:textId="77777777" w:rsidR="0078234A" w:rsidRPr="00197D1E" w:rsidRDefault="0078234A" w:rsidP="00AE26EF">
            <w:pPr>
              <w:pStyle w:val="TAL"/>
              <w:rPr>
                <w:rFonts w:asciiTheme="majorHAnsi" w:hAnsiTheme="majorHAnsi" w:cstheme="majorHAnsi"/>
                <w:szCs w:val="18"/>
                <w:highlight w:val="yellow"/>
              </w:rPr>
            </w:pPr>
            <w:r w:rsidRPr="00197D1E">
              <w:rPr>
                <w:rFonts w:asciiTheme="majorHAnsi" w:hAnsiTheme="majorHAnsi" w:cstheme="majorHAnsi"/>
                <w:szCs w:val="18"/>
                <w:highlight w:val="yellow"/>
                <w:lang w:eastAsia="zh-CN"/>
              </w:rPr>
              <w:t>[4-23 and/or 25-2]</w:t>
            </w:r>
          </w:p>
        </w:tc>
      </w:tr>
    </w:tbl>
    <w:p w14:paraId="6C1A03F8" w14:textId="4AEC42A5" w:rsidR="0078234A" w:rsidRDefault="0078234A" w:rsidP="0014563B"/>
    <w:p w14:paraId="64C58370" w14:textId="79FC3C24" w:rsidR="001E0E2F" w:rsidRPr="00E825F9" w:rsidRDefault="00BA4F52" w:rsidP="003427D3">
      <w:pPr>
        <w:pStyle w:val="ListParagraph"/>
        <w:numPr>
          <w:ilvl w:val="0"/>
          <w:numId w:val="18"/>
        </w:numPr>
        <w:rPr>
          <w:rFonts w:ascii="Times New Roman" w:hAnsi="Times New Roman"/>
          <w:sz w:val="20"/>
          <w:szCs w:val="20"/>
        </w:rPr>
      </w:pPr>
      <w:r w:rsidRPr="0014563B">
        <w:rPr>
          <w:rFonts w:ascii="Times New Roman" w:hAnsi="Times New Roman"/>
          <w:sz w:val="20"/>
          <w:szCs w:val="20"/>
          <w:lang w:val="en-US"/>
        </w:rPr>
        <w:t xml:space="preserve">FG 25-2: </w:t>
      </w:r>
      <w:r w:rsidR="00EB1020">
        <w:rPr>
          <w:rFonts w:ascii="Times New Roman" w:hAnsi="Times New Roman"/>
          <w:sz w:val="20"/>
          <w:szCs w:val="20"/>
          <w:lang w:val="en-US"/>
        </w:rPr>
        <w:t xml:space="preserve">Regarding FG </w:t>
      </w:r>
      <w:r w:rsidR="004443A7">
        <w:rPr>
          <w:rFonts w:ascii="Times New Roman" w:hAnsi="Times New Roman"/>
          <w:sz w:val="20"/>
          <w:szCs w:val="20"/>
          <w:lang w:val="en-US"/>
        </w:rPr>
        <w:t>4</w:t>
      </w:r>
      <w:r w:rsidR="00EB1020">
        <w:rPr>
          <w:rFonts w:ascii="Times New Roman" w:hAnsi="Times New Roman"/>
          <w:sz w:val="20"/>
          <w:szCs w:val="20"/>
          <w:lang w:val="en-US"/>
        </w:rPr>
        <w:t xml:space="preserve">-23 as the prerequisite, we observe that </w:t>
      </w:r>
      <w:r w:rsidR="004443A7">
        <w:rPr>
          <w:rFonts w:ascii="Times New Roman" w:hAnsi="Times New Roman"/>
          <w:sz w:val="20"/>
          <w:szCs w:val="20"/>
          <w:lang w:val="en-US"/>
        </w:rPr>
        <w:t xml:space="preserve">4-23 is the PUCCH repetition for long PUCCH. </w:t>
      </w:r>
      <w:r w:rsidR="004260F6">
        <w:rPr>
          <w:rFonts w:ascii="Times New Roman" w:hAnsi="Times New Roman"/>
          <w:sz w:val="20"/>
          <w:szCs w:val="20"/>
          <w:lang w:val="en-US"/>
        </w:rPr>
        <w:t xml:space="preserve">However, the PUCCH formats in 25-2 are short </w:t>
      </w:r>
      <w:r w:rsidR="00A51960">
        <w:rPr>
          <w:rFonts w:ascii="Times New Roman" w:hAnsi="Times New Roman"/>
          <w:sz w:val="20"/>
          <w:szCs w:val="20"/>
          <w:lang w:val="en-US"/>
        </w:rPr>
        <w:t>PUCCHs. Therefore, with respect to PUCCH format, there is no reason to consider FG 4-23 as prerequisite for FG 25-2. On the other hand, in previous releases PUCCH repetition was only supported for long PUCCH. Th</w:t>
      </w:r>
      <w:r w:rsidR="00E825F9">
        <w:rPr>
          <w:rFonts w:ascii="Times New Roman" w:hAnsi="Times New Roman"/>
          <w:sz w:val="20"/>
          <w:szCs w:val="20"/>
          <w:lang w:val="en-US"/>
        </w:rPr>
        <w:t>is implies that</w:t>
      </w:r>
      <w:r w:rsidR="00A51960">
        <w:rPr>
          <w:rFonts w:ascii="Times New Roman" w:hAnsi="Times New Roman"/>
          <w:sz w:val="20"/>
          <w:szCs w:val="20"/>
          <w:lang w:val="en-US"/>
        </w:rPr>
        <w:t xml:space="preserve"> if a UE supports FG 4-23, it </w:t>
      </w:r>
      <w:r w:rsidR="009D0AAD">
        <w:rPr>
          <w:rFonts w:ascii="Times New Roman" w:hAnsi="Times New Roman"/>
          <w:sz w:val="20"/>
          <w:szCs w:val="20"/>
          <w:lang w:val="en-US"/>
        </w:rPr>
        <w:t>means that it is capable to support deferral and other PUCCH related functionalities</w:t>
      </w:r>
      <w:r w:rsidR="00E825F9">
        <w:rPr>
          <w:rFonts w:ascii="Times New Roman" w:hAnsi="Times New Roman"/>
          <w:sz w:val="20"/>
          <w:szCs w:val="20"/>
          <w:lang w:val="en-US"/>
        </w:rPr>
        <w:t>. Therefore, it is reasonable to consider FG 4-23 as the prerequisite of FG 25-2.</w:t>
      </w:r>
    </w:p>
    <w:p w14:paraId="6BBB0244" w14:textId="77777777" w:rsidR="00973596" w:rsidRPr="00973596" w:rsidRDefault="00F547AC" w:rsidP="003427D3">
      <w:pPr>
        <w:pStyle w:val="ListParagraph"/>
        <w:numPr>
          <w:ilvl w:val="0"/>
          <w:numId w:val="18"/>
        </w:numPr>
        <w:rPr>
          <w:rFonts w:ascii="Times New Roman" w:hAnsi="Times New Roman"/>
          <w:sz w:val="20"/>
          <w:szCs w:val="20"/>
        </w:rPr>
      </w:pPr>
      <w:r>
        <w:rPr>
          <w:rFonts w:ascii="Times New Roman" w:hAnsi="Times New Roman"/>
          <w:sz w:val="20"/>
          <w:szCs w:val="20"/>
          <w:lang w:val="en-US"/>
        </w:rPr>
        <w:t xml:space="preserve">FG 25-3: </w:t>
      </w:r>
      <w:r w:rsidR="00723DCD">
        <w:rPr>
          <w:rFonts w:ascii="Times New Roman" w:hAnsi="Times New Roman"/>
          <w:sz w:val="20"/>
          <w:szCs w:val="20"/>
          <w:lang w:val="en-US"/>
        </w:rPr>
        <w:t>Similar</w:t>
      </w:r>
      <w:r w:rsidR="00AF54EE">
        <w:rPr>
          <w:rFonts w:ascii="Times New Roman" w:hAnsi="Times New Roman"/>
          <w:sz w:val="20"/>
          <w:szCs w:val="20"/>
          <w:lang w:val="en-US"/>
        </w:rPr>
        <w:t xml:space="preserve"> to the previous case, </w:t>
      </w:r>
      <w:r w:rsidR="00E60A3A">
        <w:rPr>
          <w:rFonts w:ascii="Times New Roman" w:hAnsi="Times New Roman"/>
          <w:sz w:val="20"/>
          <w:szCs w:val="20"/>
          <w:lang w:val="en-US"/>
        </w:rPr>
        <w:t xml:space="preserve">the </w:t>
      </w:r>
      <w:r w:rsidR="00723DCD">
        <w:rPr>
          <w:rFonts w:ascii="Times New Roman" w:hAnsi="Times New Roman"/>
          <w:sz w:val="20"/>
          <w:szCs w:val="20"/>
          <w:lang w:val="en-US"/>
        </w:rPr>
        <w:t>functionalities</w:t>
      </w:r>
      <w:r w:rsidR="00E60A3A">
        <w:rPr>
          <w:rFonts w:ascii="Times New Roman" w:hAnsi="Times New Roman"/>
          <w:sz w:val="20"/>
          <w:szCs w:val="20"/>
          <w:lang w:val="en-US"/>
        </w:rPr>
        <w:t xml:space="preserve"> needed to support this feature is </w:t>
      </w:r>
      <w:r w:rsidR="00723DCD">
        <w:rPr>
          <w:rFonts w:ascii="Times New Roman" w:hAnsi="Times New Roman"/>
          <w:sz w:val="20"/>
          <w:szCs w:val="20"/>
          <w:lang w:val="en-US"/>
        </w:rPr>
        <w:t>PUCCH repetition related functionaries (</w:t>
      </w:r>
      <w:proofErr w:type="gramStart"/>
      <w:r w:rsidR="00723DCD">
        <w:rPr>
          <w:rFonts w:ascii="Times New Roman" w:hAnsi="Times New Roman"/>
          <w:sz w:val="20"/>
          <w:szCs w:val="20"/>
          <w:lang w:val="en-US"/>
        </w:rPr>
        <w:t>i.e.</w:t>
      </w:r>
      <w:proofErr w:type="gramEnd"/>
      <w:r w:rsidR="00723DCD">
        <w:rPr>
          <w:rFonts w:ascii="Times New Roman" w:hAnsi="Times New Roman"/>
          <w:sz w:val="20"/>
          <w:szCs w:val="20"/>
          <w:lang w:val="en-US"/>
        </w:rPr>
        <w:t xml:space="preserve"> FG 4-23) and sub-slot related functionalities (i.e. FG 11-3)</w:t>
      </w:r>
      <w:r w:rsidR="00300B85">
        <w:rPr>
          <w:rFonts w:ascii="Times New Roman" w:hAnsi="Times New Roman"/>
          <w:sz w:val="20"/>
          <w:szCs w:val="20"/>
          <w:lang w:val="en-US"/>
        </w:rPr>
        <w:t xml:space="preserve"> while t</w:t>
      </w:r>
      <w:r w:rsidR="00652394">
        <w:rPr>
          <w:rFonts w:ascii="Times New Roman" w:hAnsi="Times New Roman"/>
          <w:sz w:val="20"/>
          <w:szCs w:val="20"/>
          <w:lang w:val="en-US"/>
        </w:rPr>
        <w:t xml:space="preserve">he format of PUCCH is </w:t>
      </w:r>
      <w:r w:rsidR="00E539D0">
        <w:rPr>
          <w:rFonts w:ascii="Times New Roman" w:hAnsi="Times New Roman"/>
          <w:sz w:val="20"/>
          <w:szCs w:val="20"/>
          <w:lang w:val="en-US"/>
        </w:rPr>
        <w:t xml:space="preserve">not affecting the </w:t>
      </w:r>
      <w:r w:rsidR="00A26928">
        <w:rPr>
          <w:rFonts w:ascii="Times New Roman" w:hAnsi="Times New Roman"/>
          <w:sz w:val="20"/>
          <w:szCs w:val="20"/>
          <w:lang w:val="en-US"/>
        </w:rPr>
        <w:t xml:space="preserve">related </w:t>
      </w:r>
      <w:r w:rsidR="00777C29">
        <w:rPr>
          <w:rFonts w:ascii="Times New Roman" w:hAnsi="Times New Roman"/>
          <w:sz w:val="20"/>
          <w:szCs w:val="20"/>
          <w:lang w:val="en-US"/>
        </w:rPr>
        <w:t>functionalities of this feature</w:t>
      </w:r>
      <w:r w:rsidR="00E539D0">
        <w:rPr>
          <w:rFonts w:ascii="Times New Roman" w:hAnsi="Times New Roman"/>
          <w:sz w:val="20"/>
          <w:szCs w:val="20"/>
          <w:lang w:val="en-US"/>
        </w:rPr>
        <w:t>. Therefore, it is reasonable to consider FG 4-23 and FG 11-3 as the prerequisite of FG 25-3</w:t>
      </w:r>
      <w:r w:rsidR="00973596">
        <w:rPr>
          <w:rFonts w:ascii="Times New Roman" w:hAnsi="Times New Roman"/>
          <w:sz w:val="20"/>
          <w:szCs w:val="20"/>
          <w:lang w:val="en-US"/>
        </w:rPr>
        <w:t>.</w:t>
      </w:r>
    </w:p>
    <w:p w14:paraId="7C0B7EB0" w14:textId="34BE7E29" w:rsidR="00E539D0" w:rsidRPr="00E825F9" w:rsidRDefault="00E539D0" w:rsidP="007615DF">
      <w:pPr>
        <w:pStyle w:val="ListParagraph"/>
        <w:ind w:left="360"/>
        <w:rPr>
          <w:rFonts w:ascii="Times New Roman" w:hAnsi="Times New Roman"/>
          <w:sz w:val="20"/>
          <w:szCs w:val="20"/>
        </w:rPr>
      </w:pPr>
    </w:p>
    <w:p w14:paraId="6DD43AD5" w14:textId="77777777" w:rsidR="00BA38E8" w:rsidRPr="00BA38E8" w:rsidRDefault="00E539D0" w:rsidP="003427D3">
      <w:pPr>
        <w:pStyle w:val="ListParagraph"/>
        <w:numPr>
          <w:ilvl w:val="0"/>
          <w:numId w:val="18"/>
        </w:numPr>
        <w:rPr>
          <w:rFonts w:ascii="Times New Roman" w:hAnsi="Times New Roman"/>
          <w:sz w:val="20"/>
          <w:szCs w:val="20"/>
        </w:rPr>
      </w:pPr>
      <w:r>
        <w:rPr>
          <w:rFonts w:ascii="Times New Roman" w:hAnsi="Times New Roman"/>
          <w:sz w:val="20"/>
          <w:szCs w:val="20"/>
          <w:lang w:val="en-US"/>
        </w:rPr>
        <w:lastRenderedPageBreak/>
        <w:t>FG 25-</w:t>
      </w:r>
      <w:r w:rsidR="00853F0D">
        <w:rPr>
          <w:rFonts w:ascii="Times New Roman" w:hAnsi="Times New Roman"/>
          <w:sz w:val="20"/>
          <w:szCs w:val="20"/>
          <w:lang w:val="en-US"/>
        </w:rPr>
        <w:t>3a</w:t>
      </w:r>
      <w:r>
        <w:rPr>
          <w:rFonts w:ascii="Times New Roman" w:hAnsi="Times New Roman"/>
          <w:sz w:val="20"/>
          <w:szCs w:val="20"/>
          <w:lang w:val="en-US"/>
        </w:rPr>
        <w:t>:</w:t>
      </w:r>
      <w:r w:rsidR="00853F0D">
        <w:rPr>
          <w:rFonts w:ascii="Times New Roman" w:hAnsi="Times New Roman"/>
          <w:sz w:val="20"/>
          <w:szCs w:val="20"/>
          <w:lang w:val="en-US"/>
        </w:rPr>
        <w:t xml:space="preserve"> For dynamic P</w:t>
      </w:r>
      <w:r w:rsidR="006C547D">
        <w:rPr>
          <w:rFonts w:ascii="Times New Roman" w:hAnsi="Times New Roman"/>
          <w:sz w:val="20"/>
          <w:szCs w:val="20"/>
          <w:lang w:val="en-US"/>
        </w:rPr>
        <w:t xml:space="preserve">UCCH repetition, FG 30-5 as prerequisite is needed which in turn has FG 4-23 as prerequisite. For sub-slot </w:t>
      </w:r>
      <w:r w:rsidR="0058491C">
        <w:rPr>
          <w:rFonts w:ascii="Times New Roman" w:hAnsi="Times New Roman"/>
          <w:sz w:val="20"/>
          <w:szCs w:val="20"/>
          <w:lang w:val="en-US"/>
        </w:rPr>
        <w:t>related functionalities, FG 11-</w:t>
      </w:r>
      <w:r w:rsidR="00973596">
        <w:rPr>
          <w:rFonts w:ascii="Times New Roman" w:hAnsi="Times New Roman"/>
          <w:sz w:val="20"/>
          <w:szCs w:val="20"/>
          <w:lang w:val="en-US"/>
        </w:rPr>
        <w:t>3</w:t>
      </w:r>
      <w:r w:rsidR="0058491C">
        <w:rPr>
          <w:rFonts w:ascii="Times New Roman" w:hAnsi="Times New Roman"/>
          <w:sz w:val="20"/>
          <w:szCs w:val="20"/>
          <w:lang w:val="en-US"/>
        </w:rPr>
        <w:t xml:space="preserve"> </w:t>
      </w:r>
      <w:r w:rsidR="00973596">
        <w:rPr>
          <w:rFonts w:ascii="Times New Roman" w:hAnsi="Times New Roman"/>
          <w:sz w:val="20"/>
          <w:szCs w:val="20"/>
          <w:lang w:val="en-US"/>
        </w:rPr>
        <w:t>should</w:t>
      </w:r>
      <w:r>
        <w:rPr>
          <w:rFonts w:ascii="Times New Roman" w:hAnsi="Times New Roman"/>
          <w:sz w:val="20"/>
          <w:szCs w:val="20"/>
          <w:lang w:val="en-US"/>
        </w:rPr>
        <w:t xml:space="preserve"> </w:t>
      </w:r>
      <w:r w:rsidR="0058491C">
        <w:rPr>
          <w:rFonts w:ascii="Times New Roman" w:hAnsi="Times New Roman"/>
          <w:sz w:val="20"/>
          <w:szCs w:val="20"/>
          <w:lang w:val="en-US"/>
        </w:rPr>
        <w:t>be considered as prerequisite</w:t>
      </w:r>
      <w:r w:rsidR="00973596">
        <w:rPr>
          <w:rFonts w:ascii="Times New Roman" w:hAnsi="Times New Roman"/>
          <w:sz w:val="20"/>
          <w:szCs w:val="20"/>
          <w:lang w:val="en-US"/>
        </w:rPr>
        <w:t xml:space="preserve">. </w:t>
      </w:r>
      <w:r w:rsidR="008053E7">
        <w:rPr>
          <w:rFonts w:ascii="Times New Roman" w:hAnsi="Times New Roman"/>
          <w:sz w:val="20"/>
          <w:szCs w:val="20"/>
          <w:lang w:val="en-US"/>
        </w:rPr>
        <w:t xml:space="preserve">There is no need to include FG 25-3 as the prerequisite of FG 25-3a </w:t>
      </w:r>
      <w:r w:rsidR="00D4604E">
        <w:rPr>
          <w:rFonts w:ascii="Times New Roman" w:hAnsi="Times New Roman"/>
          <w:sz w:val="20"/>
          <w:szCs w:val="20"/>
          <w:lang w:val="en-US"/>
        </w:rPr>
        <w:t xml:space="preserve">and introduce </w:t>
      </w:r>
      <w:r w:rsidR="00BF03F3">
        <w:rPr>
          <w:rFonts w:ascii="Times New Roman" w:hAnsi="Times New Roman"/>
          <w:sz w:val="20"/>
          <w:szCs w:val="20"/>
          <w:lang w:val="en-US"/>
        </w:rPr>
        <w:t xml:space="preserve">additional functionalities </w:t>
      </w:r>
      <w:r w:rsidR="00BA38E8">
        <w:rPr>
          <w:rFonts w:ascii="Times New Roman" w:hAnsi="Times New Roman"/>
          <w:sz w:val="20"/>
          <w:szCs w:val="20"/>
          <w:lang w:val="en-US"/>
        </w:rPr>
        <w:t>specific for 25-3 and not related to 25-3a.</w:t>
      </w:r>
    </w:p>
    <w:p w14:paraId="5C9C2823" w14:textId="4F94C4FD" w:rsidR="00E825F9" w:rsidRPr="0014563B" w:rsidRDefault="00BF03F3" w:rsidP="003427D3">
      <w:pPr>
        <w:pStyle w:val="ListParagraph"/>
        <w:numPr>
          <w:ilvl w:val="0"/>
          <w:numId w:val="18"/>
        </w:numPr>
        <w:rPr>
          <w:rFonts w:ascii="Times New Roman" w:hAnsi="Times New Roman"/>
          <w:sz w:val="20"/>
          <w:szCs w:val="20"/>
        </w:rPr>
      </w:pPr>
      <w:r>
        <w:rPr>
          <w:rFonts w:ascii="Times New Roman" w:hAnsi="Times New Roman"/>
          <w:sz w:val="20"/>
          <w:szCs w:val="20"/>
          <w:lang w:val="en-US"/>
        </w:rPr>
        <w:t xml:space="preserve"> </w:t>
      </w:r>
      <w:r w:rsidR="00DA0E16">
        <w:rPr>
          <w:rFonts w:ascii="Times New Roman" w:hAnsi="Times New Roman"/>
          <w:sz w:val="20"/>
          <w:szCs w:val="20"/>
          <w:lang w:val="en-US"/>
        </w:rPr>
        <w:t>FG 25-3b:</w:t>
      </w:r>
      <w:r w:rsidR="0093525D">
        <w:rPr>
          <w:rFonts w:ascii="Times New Roman" w:hAnsi="Times New Roman"/>
          <w:sz w:val="20"/>
          <w:szCs w:val="20"/>
          <w:lang w:val="en-US"/>
        </w:rPr>
        <w:t xml:space="preserve"> It seems that no capability is introduced for inter-slot frequency hopping in Rel-15. </w:t>
      </w:r>
      <w:r w:rsidR="00B00886">
        <w:rPr>
          <w:rFonts w:ascii="Times New Roman" w:hAnsi="Times New Roman"/>
          <w:sz w:val="20"/>
          <w:szCs w:val="20"/>
          <w:lang w:val="en-US"/>
        </w:rPr>
        <w:t>Hence, regarding this feature</w:t>
      </w:r>
      <w:r w:rsidR="004E5262">
        <w:rPr>
          <w:rFonts w:ascii="Times New Roman" w:hAnsi="Times New Roman"/>
          <w:sz w:val="20"/>
          <w:szCs w:val="20"/>
          <w:lang w:val="en-US"/>
        </w:rPr>
        <w:t xml:space="preserve"> the UE should be able to support inter-slot frequency PUCC</w:t>
      </w:r>
      <w:r w:rsidR="00BF0795">
        <w:rPr>
          <w:rFonts w:ascii="Times New Roman" w:hAnsi="Times New Roman"/>
          <w:sz w:val="20"/>
          <w:szCs w:val="20"/>
          <w:lang w:val="en-US"/>
        </w:rPr>
        <w:t>H</w:t>
      </w:r>
      <w:r w:rsidR="004E5262">
        <w:rPr>
          <w:rFonts w:ascii="Times New Roman" w:hAnsi="Times New Roman"/>
          <w:sz w:val="20"/>
          <w:szCs w:val="20"/>
          <w:lang w:val="en-US"/>
        </w:rPr>
        <w:t xml:space="preserve"> hoppin</w:t>
      </w:r>
      <w:r w:rsidR="00BF0795">
        <w:rPr>
          <w:rFonts w:ascii="Times New Roman" w:hAnsi="Times New Roman"/>
          <w:sz w:val="20"/>
          <w:szCs w:val="20"/>
          <w:lang w:val="en-US"/>
        </w:rPr>
        <w:t>g</w:t>
      </w:r>
      <w:r w:rsidR="00D94A4B">
        <w:rPr>
          <w:rFonts w:ascii="Times New Roman" w:hAnsi="Times New Roman"/>
          <w:sz w:val="20"/>
          <w:szCs w:val="20"/>
          <w:lang w:val="en-US"/>
        </w:rPr>
        <w:t xml:space="preserve"> and would need FG 4-23 and FG 11-</w:t>
      </w:r>
      <w:r w:rsidR="00C979B0">
        <w:rPr>
          <w:rFonts w:ascii="Times New Roman" w:hAnsi="Times New Roman"/>
          <w:sz w:val="20"/>
          <w:szCs w:val="20"/>
          <w:lang w:val="en-US"/>
        </w:rPr>
        <w:t xml:space="preserve">3 to support PUCCH repetition in addition to sub-slot related functionalities. </w:t>
      </w:r>
    </w:p>
    <w:p w14:paraId="452648A5" w14:textId="77777777" w:rsidR="00BA4F52" w:rsidRDefault="00BA4F52" w:rsidP="00BA4F52"/>
    <w:p w14:paraId="6520B6C0" w14:textId="77777777" w:rsidR="005D08E5" w:rsidRDefault="00E32D3B" w:rsidP="00E32D3B">
      <w:pPr>
        <w:pStyle w:val="Proposal"/>
      </w:pPr>
      <w:bookmarkStart w:id="3" w:name="_Toc101718890"/>
      <w:r>
        <w:t xml:space="preserve">Confirm FG </w:t>
      </w:r>
      <w:r w:rsidR="007615DF">
        <w:t>4-23</w:t>
      </w:r>
      <w:r>
        <w:t xml:space="preserve"> as prerequisite of FG 25-</w:t>
      </w:r>
      <w:r w:rsidR="005D08E5">
        <w:t>2</w:t>
      </w:r>
      <w:r>
        <w:t>.</w:t>
      </w:r>
      <w:bookmarkEnd w:id="3"/>
    </w:p>
    <w:p w14:paraId="5E579D82" w14:textId="182FF3D8" w:rsidR="005D08E5" w:rsidRDefault="005D08E5" w:rsidP="005D08E5">
      <w:pPr>
        <w:pStyle w:val="Proposal"/>
      </w:pPr>
      <w:bookmarkStart w:id="4" w:name="_Toc101718891"/>
      <w:r>
        <w:t>Confirm FG 4-23 and FG 11-3 as prerequisites of FG 25-3.</w:t>
      </w:r>
      <w:bookmarkEnd w:id="4"/>
    </w:p>
    <w:p w14:paraId="681566A6" w14:textId="12C5E030" w:rsidR="00E32D3B" w:rsidRDefault="00844F53" w:rsidP="00E32D3B">
      <w:pPr>
        <w:pStyle w:val="Proposal"/>
      </w:pPr>
      <w:bookmarkStart w:id="5" w:name="_Toc101718892"/>
      <w:r>
        <w:t>Support FG 30-5 and FG 4-23 as prerequisites for FG 25-3a.</w:t>
      </w:r>
      <w:bookmarkEnd w:id="5"/>
    </w:p>
    <w:p w14:paraId="7820274B" w14:textId="2A554989" w:rsidR="00344A1C" w:rsidRDefault="00344A1C" w:rsidP="00344A1C">
      <w:pPr>
        <w:pStyle w:val="Proposal"/>
      </w:pPr>
      <w:bookmarkStart w:id="6" w:name="_Toc101718893"/>
      <w:r>
        <w:t>Support FG 11-3 and FG 4-23 as prerequisites for FG 25-3b.</w:t>
      </w:r>
      <w:bookmarkEnd w:id="6"/>
    </w:p>
    <w:p w14:paraId="66C221C8" w14:textId="77777777" w:rsidR="00E32D3B" w:rsidRDefault="00E32D3B" w:rsidP="00CB3EC0"/>
    <w:p w14:paraId="4E7E4B7E" w14:textId="10E33F51" w:rsidR="00E57EE3" w:rsidRDefault="00E57EE3" w:rsidP="00CB3EC0">
      <w:r>
        <w:t xml:space="preserve">There is a typo in component description of 25-3b </w:t>
      </w:r>
      <w:r w:rsidR="009E6664">
        <w:t xml:space="preserve">where slot-based </w:t>
      </w:r>
      <w:r w:rsidR="00616253">
        <w:t xml:space="preserve">PUCCH configurations </w:t>
      </w:r>
      <w:r w:rsidR="009E6664">
        <w:t>is used instead of sub-slot based</w:t>
      </w:r>
      <w:r>
        <w:t xml:space="preserve"> </w:t>
      </w:r>
      <w:r w:rsidR="00616253">
        <w:t xml:space="preserve">PUCCH configurations </w:t>
      </w:r>
      <w:r>
        <w:t>for 7</w:t>
      </w:r>
      <w:r w:rsidR="00D40B82">
        <w:t xml:space="preserve">/2 symbols </w:t>
      </w:r>
      <w:r w:rsidR="00616253">
        <w:t>sub-slot.</w:t>
      </w:r>
    </w:p>
    <w:p w14:paraId="5CF25782" w14:textId="5E63A9E7" w:rsidR="008F733D" w:rsidRPr="00CB3EC0" w:rsidRDefault="00102E35" w:rsidP="00102E35">
      <w:pPr>
        <w:pStyle w:val="Proposal"/>
      </w:pPr>
      <w:bookmarkStart w:id="7" w:name="_Toc101718894"/>
      <w:r>
        <w:t xml:space="preserve">Fix the typo in component description of </w:t>
      </w:r>
      <w:r w:rsidR="001126B0">
        <w:t xml:space="preserve">FG 25-3b </w:t>
      </w:r>
      <w:r w:rsidR="001F3DAC">
        <w:t>as “</w:t>
      </w:r>
      <w:r w:rsidR="001F3DAC">
        <w:rPr>
          <w:color w:val="FF0000"/>
        </w:rPr>
        <w:t>sub-</w:t>
      </w:r>
      <w:r w:rsidR="001F3DAC" w:rsidRPr="00E57EE3">
        <w:rPr>
          <w:color w:val="000000" w:themeColor="text1"/>
        </w:rPr>
        <w:t>slot</w:t>
      </w:r>
      <w:r w:rsidR="00E57EE3" w:rsidRPr="00E57EE3">
        <w:rPr>
          <w:color w:val="000000" w:themeColor="text1"/>
        </w:rPr>
        <w:t xml:space="preserve"> based PUCCH configurations”.</w:t>
      </w:r>
      <w:bookmarkEnd w:id="7"/>
    </w:p>
    <w:p w14:paraId="5586A793" w14:textId="5375C1F8" w:rsidR="001B3293" w:rsidRDefault="003064B7" w:rsidP="001B3293">
      <w:pPr>
        <w:pStyle w:val="Heading3"/>
      </w:pPr>
      <w:r>
        <w:t>25-4 to 25-</w:t>
      </w:r>
      <w:r w:rsidR="00A61B07">
        <w:t>7</w:t>
      </w:r>
      <w:r>
        <w:t xml:space="preserve">: </w:t>
      </w:r>
      <w:r w:rsidR="008907CA">
        <w:t xml:space="preserve">Retransmission of </w:t>
      </w:r>
      <w:r w:rsidR="00A61B07" w:rsidRPr="00A61B07">
        <w:t>cancelled HARQ-ACK</w:t>
      </w:r>
    </w:p>
    <w:p w14:paraId="01F1195F" w14:textId="73933CEB" w:rsidR="009F2C23" w:rsidRPr="004559B2" w:rsidRDefault="00DC04CA" w:rsidP="001B3293">
      <w:pPr>
        <w:rPr>
          <w:szCs w:val="24"/>
        </w:rPr>
      </w:pPr>
      <w:bookmarkStart w:id="8" w:name="_Hlk84717244"/>
      <w:r w:rsidRPr="004559B2">
        <w:t>It has been discussed</w:t>
      </w:r>
      <w:r w:rsidRPr="004559B2">
        <w:rPr>
          <w:szCs w:val="24"/>
          <w:lang w:val="en-US"/>
        </w:rPr>
        <w:t xml:space="preserve"> </w:t>
      </w:r>
      <w:r w:rsidR="006D3909" w:rsidRPr="004559B2">
        <w:rPr>
          <w:szCs w:val="24"/>
          <w:lang w:val="en-US"/>
        </w:rPr>
        <w:t xml:space="preserve">whether/how to revise the prerequisite feature groups for </w:t>
      </w:r>
      <w:r w:rsidR="006D3909" w:rsidRPr="004559B2">
        <w:rPr>
          <w:szCs w:val="24"/>
        </w:rPr>
        <w:t>FGs 25-4/5</w:t>
      </w:r>
      <w:r w:rsidR="00A61B07">
        <w:rPr>
          <w:szCs w:val="24"/>
        </w:rPr>
        <w:t xml:space="preserve"> and</w:t>
      </w:r>
      <w:r w:rsidR="006D3909" w:rsidRPr="004559B2">
        <w:rPr>
          <w:szCs w:val="24"/>
        </w:rPr>
        <w:t xml:space="preserve"> 25-7</w:t>
      </w:r>
      <w:bookmarkEnd w:id="8"/>
      <w:r w:rsidRPr="004559B2">
        <w:rPr>
          <w:szCs w:val="24"/>
        </w:rPr>
        <w:t xml:space="preserve">. In our view </w:t>
      </w:r>
      <w:r w:rsidR="0001712D" w:rsidRPr="004559B2">
        <w:rPr>
          <w:szCs w:val="24"/>
        </w:rPr>
        <w:t>the current prerequisites</w:t>
      </w:r>
      <w:r w:rsidR="00D63AB1" w:rsidRPr="004559B2">
        <w:rPr>
          <w:szCs w:val="24"/>
        </w:rPr>
        <w:t xml:space="preserve"> for FG 25-4/5</w:t>
      </w:r>
      <w:r w:rsidR="0001712D" w:rsidRPr="004559B2">
        <w:rPr>
          <w:szCs w:val="24"/>
        </w:rPr>
        <w:t xml:space="preserve"> are adequate</w:t>
      </w:r>
      <w:r w:rsidR="00D63AB1" w:rsidRPr="004559B2">
        <w:rPr>
          <w:szCs w:val="24"/>
        </w:rPr>
        <w:t xml:space="preserve"> and no prerequisite is needed for FG 25-7 since the </w:t>
      </w:r>
      <w:r w:rsidR="00A9225F" w:rsidRPr="004559B2">
        <w:rPr>
          <w:szCs w:val="24"/>
        </w:rPr>
        <w:t xml:space="preserve">corresponding component descriptions </w:t>
      </w:r>
      <w:r w:rsidR="00EB4907" w:rsidRPr="004559B2">
        <w:rPr>
          <w:szCs w:val="24"/>
        </w:rPr>
        <w:t>already clarify the needed information.</w:t>
      </w:r>
    </w:p>
    <w:p w14:paraId="564C2E63" w14:textId="60F9AA3D" w:rsidR="002B105A" w:rsidRPr="002B105A" w:rsidRDefault="004C2FFC" w:rsidP="002B105A">
      <w:pPr>
        <w:pStyle w:val="Proposal"/>
      </w:pPr>
      <w:bookmarkStart w:id="9" w:name="_Toc101718895"/>
      <w:r>
        <w:t xml:space="preserve">Confirm </w:t>
      </w:r>
      <w:r w:rsidR="002A391A">
        <w:t>the prerequisite feature groups of FG 25-4 and 25-</w:t>
      </w:r>
      <w:r w:rsidR="004559B2">
        <w:t>5. No prerequisite is needed for FG 25-7.</w:t>
      </w:r>
      <w:bookmarkEnd w:id="9"/>
    </w:p>
    <w:p w14:paraId="4C5E2ECC" w14:textId="7D389691" w:rsidR="008907CA" w:rsidRDefault="009F5FEB" w:rsidP="008907CA">
      <w:pPr>
        <w:pStyle w:val="Heading3"/>
      </w:pPr>
      <w:r>
        <w:t>25-</w:t>
      </w:r>
      <w:r w:rsidR="0061285C">
        <w:t xml:space="preserve">9 to 25-10a: </w:t>
      </w:r>
      <w:r w:rsidR="008907CA">
        <w:t xml:space="preserve">PUCCH </w:t>
      </w:r>
      <w:r>
        <w:t>cell switching</w:t>
      </w:r>
    </w:p>
    <w:p w14:paraId="181CFFA3" w14:textId="189372CA" w:rsidR="001B3293" w:rsidRDefault="0061285C" w:rsidP="001B3293">
      <w:r w:rsidRPr="0036535D">
        <w:t xml:space="preserve">With respect to FGs for PUCCH cell switching, there is an open issue </w:t>
      </w:r>
      <w:r w:rsidR="0036535D" w:rsidRPr="004674C4">
        <w:t>whether/how to indicate the capability for support of PUCCH cell switch in two PUCCH groups</w:t>
      </w:r>
      <w:r w:rsidR="0036535D" w:rsidRPr="0036535D">
        <w:t xml:space="preserve">. </w:t>
      </w:r>
      <w:r w:rsidR="00252C7E">
        <w:t>PUCCH cell switching is supported for both primary cell group and secondary cell group if available. The</w:t>
      </w:r>
      <w:r w:rsidR="004B2138">
        <w:t xml:space="preserve">re is no dependency across cell groups for the </w:t>
      </w:r>
      <w:r w:rsidR="00AF6609">
        <w:t xml:space="preserve">PUCCH cell switching functionalities within a PUCCH group. Hence, </w:t>
      </w:r>
      <w:r w:rsidR="00350FFE">
        <w:t xml:space="preserve">if a secondary PUCCH group is enabled, </w:t>
      </w:r>
      <w:r w:rsidR="00F52977">
        <w:t xml:space="preserve">the same functionalities as for the primary PUCCH group can be applied there as well. Hence, there is no </w:t>
      </w:r>
      <w:r w:rsidR="007D3882">
        <w:t xml:space="preserve">differentiation is needed and </w:t>
      </w:r>
      <w:r w:rsidR="006D6751">
        <w:t>two PUCCH groups should be supported by these feature groups.</w:t>
      </w:r>
    </w:p>
    <w:p w14:paraId="5C03EB68" w14:textId="6B76B2BE" w:rsidR="00EF0F09" w:rsidRPr="00A61B07" w:rsidRDefault="002834D9" w:rsidP="002834D9">
      <w:pPr>
        <w:pStyle w:val="Proposal"/>
      </w:pPr>
      <w:bookmarkStart w:id="10" w:name="_Toc101718896"/>
      <w:r>
        <w:t xml:space="preserve">FGs 25-9 to 25-10a support </w:t>
      </w:r>
      <w:r w:rsidR="00D46ABB">
        <w:t xml:space="preserve">the corresponding </w:t>
      </w:r>
      <w:r w:rsidR="00EF0F09">
        <w:t>PUCCH cell switch</w:t>
      </w:r>
      <w:r w:rsidR="00A61B07">
        <w:t>ing</w:t>
      </w:r>
      <w:r w:rsidR="00EF0F09">
        <w:t xml:space="preserve"> </w:t>
      </w:r>
      <w:r w:rsidR="00D46ABB">
        <w:t>functionalities for</w:t>
      </w:r>
      <w:r w:rsidR="00EF0F09">
        <w:t xml:space="preserve"> one PUCCH group as well as two PUCCH groups.</w:t>
      </w:r>
      <w:bookmarkEnd w:id="10"/>
    </w:p>
    <w:p w14:paraId="19C6EAAB" w14:textId="4968ED0D" w:rsidR="00F63950" w:rsidRDefault="003C71E9" w:rsidP="00F63950">
      <w:pPr>
        <w:pStyle w:val="Heading2"/>
      </w:pPr>
      <w:r w:rsidRPr="003C71E9">
        <w:t xml:space="preserve">CSI </w:t>
      </w:r>
      <w:r>
        <w:t>F</w:t>
      </w:r>
      <w:r w:rsidRPr="003C71E9">
        <w:t xml:space="preserve">eedback </w:t>
      </w:r>
      <w:r>
        <w:t>E</w:t>
      </w:r>
      <w:r w:rsidRPr="003C71E9">
        <w:t>nhancements</w:t>
      </w:r>
    </w:p>
    <w:p w14:paraId="2200771D" w14:textId="196200BC" w:rsidR="003C71E9" w:rsidRDefault="000D7001" w:rsidP="008B6CBD">
      <w:r>
        <w:t xml:space="preserve">For FG 25-11 in the preliminary list [1], no prerequisite FG is stated. However, the 4-bit </w:t>
      </w:r>
      <w:proofErr w:type="spellStart"/>
      <w:r>
        <w:t>subband</w:t>
      </w:r>
      <w:proofErr w:type="spellEnd"/>
      <w:r>
        <w:t xml:space="preserve"> CQI reporting should be an enhancement of basic CSI feedback. Hence FG </w:t>
      </w:r>
      <w:r w:rsidR="003635A0">
        <w:t>2-32 “</w:t>
      </w:r>
      <w:r w:rsidR="003635A0" w:rsidRPr="003635A0">
        <w:t>Basic CSI feedback</w:t>
      </w:r>
      <w:r w:rsidR="003635A0">
        <w:t>”</w:t>
      </w:r>
      <w:r>
        <w:t xml:space="preserve"> should be added as a prerequisite as shown below</w:t>
      </w:r>
      <w:r w:rsidR="003635A0">
        <w:t>.</w:t>
      </w:r>
    </w:p>
    <w:p w14:paraId="5FC2E0AC" w14:textId="431D7E98" w:rsidR="008301E3" w:rsidRDefault="008301E3" w:rsidP="008B6CBD">
      <w:r>
        <w:t xml:space="preserve">Additionally, the 4-bit </w:t>
      </w:r>
      <w:proofErr w:type="spellStart"/>
      <w:r>
        <w:t>subband</w:t>
      </w:r>
      <w:proofErr w:type="spellEnd"/>
      <w:r>
        <w:t xml:space="preserve"> CQI should be confirmed as a “per UE” capability.</w:t>
      </w:r>
    </w:p>
    <w:p w14:paraId="576A2E23" w14:textId="5C525B60" w:rsidR="000D7001" w:rsidRDefault="000D7001" w:rsidP="000D7001">
      <w:pPr>
        <w:pStyle w:val="Caption"/>
        <w:keepNext/>
        <w:jc w:val="center"/>
      </w:pPr>
      <w:r>
        <w:t xml:space="preserve">Table </w:t>
      </w:r>
      <w:r w:rsidR="003A08B7">
        <w:fldChar w:fldCharType="begin"/>
      </w:r>
      <w:r w:rsidR="003A08B7">
        <w:instrText xml:space="preserve"> SEQ Table \* ARABIC </w:instrText>
      </w:r>
      <w:r w:rsidR="003A08B7">
        <w:fldChar w:fldCharType="separate"/>
      </w:r>
      <w:r w:rsidR="00371129">
        <w:rPr>
          <w:noProof/>
        </w:rPr>
        <w:t>1</w:t>
      </w:r>
      <w:r w:rsidR="003A08B7">
        <w:rPr>
          <w:noProof/>
        </w:rPr>
        <w:fldChar w:fldCharType="end"/>
      </w:r>
      <w:r>
        <w:rPr>
          <w:noProof/>
        </w:rPr>
        <w:t>:</w:t>
      </w:r>
      <w:r w:rsidRPr="00535AF0">
        <w:t xml:space="preserve"> </w:t>
      </w:r>
      <w:r>
        <w:t>Proposed FG for enhanced CSI feedback.</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59"/>
        <w:gridCol w:w="1559"/>
        <w:gridCol w:w="2761"/>
        <w:gridCol w:w="917"/>
      </w:tblGrid>
      <w:tr w:rsidR="003635A0" w:rsidRPr="00946FCA" w14:paraId="503C569B" w14:textId="77777777" w:rsidTr="003635A0">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090662E1" w14:textId="65E45BA1" w:rsidR="003635A0" w:rsidRPr="00946FCA" w:rsidRDefault="003635A0" w:rsidP="003635A0">
            <w:pPr>
              <w:keepNext/>
              <w:keepLines/>
              <w:spacing w:after="160" w:line="256" w:lineRule="auto"/>
              <w:jc w:val="center"/>
              <w:textAlignment w:val="auto"/>
              <w:rPr>
                <w:rFonts w:ascii="Arial" w:hAnsi="Arial" w:cs="Arial"/>
                <w:b/>
                <w:sz w:val="16"/>
                <w:szCs w:val="16"/>
              </w:rPr>
            </w:pPr>
            <w:r w:rsidRPr="003635A0">
              <w:rPr>
                <w:rFonts w:ascii="Arial" w:hAnsi="Arial" w:cs="Arial"/>
                <w:b/>
                <w:sz w:val="16"/>
                <w:szCs w:val="16"/>
              </w:rPr>
              <w:t>Features</w:t>
            </w:r>
          </w:p>
        </w:tc>
        <w:tc>
          <w:tcPr>
            <w:tcW w:w="1559" w:type="dxa"/>
            <w:tcBorders>
              <w:top w:val="single" w:sz="4" w:space="0" w:color="auto"/>
              <w:left w:val="single" w:sz="4" w:space="0" w:color="auto"/>
              <w:bottom w:val="single" w:sz="4" w:space="0" w:color="auto"/>
              <w:right w:val="single" w:sz="4" w:space="0" w:color="auto"/>
            </w:tcBorders>
          </w:tcPr>
          <w:p w14:paraId="47F8BD61" w14:textId="049C1DB6" w:rsidR="003635A0" w:rsidRPr="00946FCA" w:rsidRDefault="003635A0" w:rsidP="003635A0">
            <w:pPr>
              <w:keepNext/>
              <w:keepLines/>
              <w:spacing w:after="160" w:line="256" w:lineRule="auto"/>
              <w:jc w:val="center"/>
              <w:textAlignment w:val="auto"/>
              <w:rPr>
                <w:rFonts w:ascii="Arial" w:hAnsi="Arial" w:cs="Arial"/>
                <w:b/>
                <w:sz w:val="16"/>
                <w:szCs w:val="16"/>
              </w:rPr>
            </w:pPr>
            <w:r w:rsidRPr="003635A0">
              <w:rPr>
                <w:rFonts w:ascii="Arial" w:hAnsi="Arial" w:cs="Arial"/>
                <w:b/>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689ED526" w14:textId="58C2E5DA"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Feature group</w:t>
            </w:r>
          </w:p>
        </w:tc>
        <w:tc>
          <w:tcPr>
            <w:tcW w:w="2761" w:type="dxa"/>
            <w:tcBorders>
              <w:top w:val="single" w:sz="4" w:space="0" w:color="auto"/>
              <w:left w:val="single" w:sz="4" w:space="0" w:color="auto"/>
              <w:bottom w:val="single" w:sz="4" w:space="0" w:color="auto"/>
              <w:right w:val="single" w:sz="4" w:space="0" w:color="auto"/>
            </w:tcBorders>
            <w:hideMark/>
          </w:tcPr>
          <w:p w14:paraId="30640F09" w14:textId="77777777"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Components</w:t>
            </w:r>
          </w:p>
        </w:tc>
        <w:tc>
          <w:tcPr>
            <w:tcW w:w="917" w:type="dxa"/>
            <w:tcBorders>
              <w:top w:val="single" w:sz="4" w:space="0" w:color="auto"/>
              <w:left w:val="single" w:sz="4" w:space="0" w:color="auto"/>
              <w:bottom w:val="single" w:sz="4" w:space="0" w:color="auto"/>
              <w:right w:val="single" w:sz="4" w:space="0" w:color="auto"/>
            </w:tcBorders>
            <w:hideMark/>
          </w:tcPr>
          <w:p w14:paraId="09A1AC42" w14:textId="77777777"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Prerequisite feature groups</w:t>
            </w:r>
          </w:p>
        </w:tc>
      </w:tr>
      <w:tr w:rsidR="003635A0" w:rsidRPr="003635A0" w14:paraId="4B88C19A" w14:textId="77777777" w:rsidTr="003635A0">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3C98755D" w14:textId="6CBE4A8D" w:rsidR="003635A0" w:rsidRPr="003635A0" w:rsidRDefault="003635A0" w:rsidP="003635A0">
            <w:pPr>
              <w:pStyle w:val="TAL"/>
              <w:overflowPunct/>
              <w:autoSpaceDE/>
              <w:autoSpaceDN/>
              <w:adjustRightInd/>
              <w:textAlignment w:val="auto"/>
              <w:rPr>
                <w:rFonts w:eastAsia="SimSun" w:cs="Arial"/>
                <w:szCs w:val="18"/>
                <w:lang w:eastAsia="en-US"/>
              </w:rPr>
            </w:pPr>
            <w:r w:rsidRPr="003635A0">
              <w:rPr>
                <w:rFonts w:cs="Arial"/>
                <w:szCs w:val="18"/>
              </w:rPr>
              <w:t>25. NR_IIOT_</w:t>
            </w:r>
            <w:r w:rsidRPr="003635A0">
              <w:rPr>
                <w:rFonts w:eastAsiaTheme="minorEastAsia" w:cs="Arial"/>
                <w:szCs w:val="18"/>
                <w:lang w:val="en-GB" w:eastAsia="ja-JP"/>
              </w:rPr>
              <w:t>URLLC</w:t>
            </w:r>
            <w:r w:rsidRPr="003635A0">
              <w:rPr>
                <w:rFonts w:cs="Arial"/>
                <w:szCs w:val="18"/>
              </w:rPr>
              <w:t>_</w:t>
            </w:r>
            <w:proofErr w:type="spellStart"/>
            <w:r w:rsidRPr="003635A0">
              <w:rPr>
                <w:rFonts w:cs="Arial"/>
                <w:szCs w:val="18"/>
              </w:rPr>
              <w:t>enh</w:t>
            </w:r>
            <w:proofErr w:type="spellEnd"/>
          </w:p>
        </w:tc>
        <w:tc>
          <w:tcPr>
            <w:tcW w:w="1559" w:type="dxa"/>
            <w:tcBorders>
              <w:top w:val="single" w:sz="4" w:space="0" w:color="auto"/>
              <w:left w:val="single" w:sz="4" w:space="0" w:color="auto"/>
              <w:bottom w:val="single" w:sz="4" w:space="0" w:color="auto"/>
              <w:right w:val="single" w:sz="4" w:space="0" w:color="auto"/>
            </w:tcBorders>
          </w:tcPr>
          <w:p w14:paraId="1AD0FD36" w14:textId="5B3EFB2E" w:rsidR="003635A0" w:rsidRPr="003635A0" w:rsidRDefault="003635A0" w:rsidP="003635A0">
            <w:pPr>
              <w:keepNext/>
              <w:keepLines/>
              <w:overflowPunct/>
              <w:autoSpaceDE/>
              <w:autoSpaceDN/>
              <w:adjustRightInd/>
              <w:spacing w:after="160" w:line="256" w:lineRule="auto"/>
              <w:jc w:val="both"/>
              <w:textAlignment w:val="auto"/>
              <w:rPr>
                <w:rFonts w:ascii="Arial" w:eastAsia="SimSun" w:hAnsi="Arial" w:cs="Arial"/>
                <w:sz w:val="18"/>
                <w:szCs w:val="18"/>
                <w:lang w:eastAsia="en-US"/>
              </w:rPr>
            </w:pPr>
            <w:r w:rsidRPr="003635A0">
              <w:rPr>
                <w:rFonts w:ascii="Arial" w:hAnsi="Arial" w:cs="Arial"/>
                <w:sz w:val="18"/>
                <w:szCs w:val="18"/>
              </w:rPr>
              <w:t>25-11</w:t>
            </w:r>
          </w:p>
        </w:tc>
        <w:tc>
          <w:tcPr>
            <w:tcW w:w="1559" w:type="dxa"/>
            <w:tcBorders>
              <w:top w:val="single" w:sz="4" w:space="0" w:color="auto"/>
              <w:left w:val="single" w:sz="4" w:space="0" w:color="auto"/>
              <w:bottom w:val="single" w:sz="4" w:space="0" w:color="auto"/>
              <w:right w:val="single" w:sz="4" w:space="0" w:color="auto"/>
            </w:tcBorders>
          </w:tcPr>
          <w:p w14:paraId="35D355D2" w14:textId="1A370C93" w:rsidR="003635A0" w:rsidRPr="003635A0" w:rsidRDefault="003635A0" w:rsidP="003635A0">
            <w:pPr>
              <w:keepNext/>
              <w:keepLines/>
              <w:overflowPunct/>
              <w:autoSpaceDE/>
              <w:autoSpaceDN/>
              <w:adjustRightInd/>
              <w:spacing w:after="160" w:line="256" w:lineRule="auto"/>
              <w:jc w:val="both"/>
              <w:textAlignment w:val="auto"/>
              <w:rPr>
                <w:rFonts w:ascii="Arial" w:eastAsia="SimSun" w:hAnsi="Arial" w:cs="Arial"/>
                <w:sz w:val="18"/>
                <w:szCs w:val="18"/>
                <w:lang w:eastAsia="en-US"/>
              </w:rPr>
            </w:pPr>
            <w:r w:rsidRPr="003635A0">
              <w:rPr>
                <w:rFonts w:ascii="Arial" w:hAnsi="Arial" w:cs="Arial"/>
                <w:sz w:val="18"/>
                <w:szCs w:val="18"/>
              </w:rPr>
              <w:t xml:space="preserve">4-bits </w:t>
            </w:r>
            <w:proofErr w:type="spellStart"/>
            <w:r w:rsidRPr="003635A0">
              <w:rPr>
                <w:rFonts w:ascii="Arial" w:hAnsi="Arial" w:cs="Arial"/>
                <w:sz w:val="18"/>
                <w:szCs w:val="18"/>
              </w:rPr>
              <w:t>subband</w:t>
            </w:r>
            <w:proofErr w:type="spellEnd"/>
            <w:r w:rsidRPr="003635A0">
              <w:rPr>
                <w:rFonts w:ascii="Arial" w:hAnsi="Arial" w:cs="Arial"/>
                <w:sz w:val="18"/>
                <w:szCs w:val="18"/>
              </w:rPr>
              <w:t xml:space="preserve"> CQI</w:t>
            </w:r>
          </w:p>
        </w:tc>
        <w:tc>
          <w:tcPr>
            <w:tcW w:w="2761" w:type="dxa"/>
            <w:tcBorders>
              <w:top w:val="single" w:sz="4" w:space="0" w:color="auto"/>
              <w:left w:val="single" w:sz="4" w:space="0" w:color="auto"/>
              <w:bottom w:val="single" w:sz="4" w:space="0" w:color="auto"/>
              <w:right w:val="single" w:sz="4" w:space="0" w:color="auto"/>
            </w:tcBorders>
          </w:tcPr>
          <w:p w14:paraId="07902725" w14:textId="4CEA165A" w:rsidR="003635A0" w:rsidRPr="003635A0" w:rsidRDefault="003635A0" w:rsidP="000D7001">
            <w:pPr>
              <w:keepNext/>
              <w:keepLines/>
              <w:overflowPunct/>
              <w:autoSpaceDE/>
              <w:autoSpaceDN/>
              <w:adjustRightInd/>
              <w:spacing w:after="160" w:line="256" w:lineRule="auto"/>
              <w:jc w:val="both"/>
              <w:textAlignment w:val="auto"/>
              <w:rPr>
                <w:rFonts w:ascii="Arial" w:eastAsia="SimSun" w:hAnsi="Arial" w:cs="Arial"/>
                <w:sz w:val="18"/>
                <w:szCs w:val="18"/>
              </w:rPr>
            </w:pPr>
            <w:proofErr w:type="spellStart"/>
            <w:r w:rsidRPr="003635A0">
              <w:rPr>
                <w:rFonts w:ascii="Arial" w:hAnsi="Arial" w:cs="Arial"/>
                <w:sz w:val="18"/>
                <w:szCs w:val="18"/>
              </w:rPr>
              <w:t>Subband</w:t>
            </w:r>
            <w:proofErr w:type="spellEnd"/>
            <w:r w:rsidRPr="003635A0">
              <w:rPr>
                <w:rFonts w:ascii="Arial" w:hAnsi="Arial" w:cs="Arial"/>
                <w:sz w:val="18"/>
                <w:szCs w:val="18"/>
              </w:rPr>
              <w:t xml:space="preserve"> CQI reporting with 4 bits per </w:t>
            </w:r>
            <w:proofErr w:type="spellStart"/>
            <w:r w:rsidRPr="003635A0">
              <w:rPr>
                <w:rFonts w:ascii="Arial" w:hAnsi="Arial" w:cs="Arial"/>
                <w:sz w:val="18"/>
                <w:szCs w:val="18"/>
              </w:rPr>
              <w:t>subband</w:t>
            </w:r>
            <w:proofErr w:type="spellEnd"/>
          </w:p>
        </w:tc>
        <w:tc>
          <w:tcPr>
            <w:tcW w:w="917" w:type="dxa"/>
            <w:tcBorders>
              <w:top w:val="single" w:sz="4" w:space="0" w:color="auto"/>
              <w:left w:val="single" w:sz="4" w:space="0" w:color="auto"/>
              <w:bottom w:val="single" w:sz="4" w:space="0" w:color="auto"/>
              <w:right w:val="single" w:sz="4" w:space="0" w:color="auto"/>
            </w:tcBorders>
          </w:tcPr>
          <w:p w14:paraId="403A5F5A" w14:textId="7AB67B2A" w:rsidR="003635A0" w:rsidRPr="003635A0" w:rsidRDefault="000D7001" w:rsidP="003635A0">
            <w:pPr>
              <w:keepNext/>
              <w:keepLines/>
              <w:overflowPunct/>
              <w:autoSpaceDE/>
              <w:autoSpaceDN/>
              <w:adjustRightInd/>
              <w:spacing w:after="160" w:line="256" w:lineRule="auto"/>
              <w:jc w:val="both"/>
              <w:textAlignment w:val="auto"/>
              <w:rPr>
                <w:rFonts w:ascii="Arial" w:eastAsia="SimSun" w:hAnsi="Arial" w:cs="Arial"/>
                <w:sz w:val="18"/>
                <w:szCs w:val="18"/>
              </w:rPr>
            </w:pPr>
            <w:r w:rsidRPr="000D7001">
              <w:rPr>
                <w:rFonts w:ascii="Arial" w:hAnsi="Arial" w:cs="Arial"/>
                <w:color w:val="FF0000"/>
                <w:sz w:val="18"/>
                <w:szCs w:val="18"/>
              </w:rPr>
              <w:t>2-32</w:t>
            </w:r>
          </w:p>
        </w:tc>
      </w:tr>
    </w:tbl>
    <w:p w14:paraId="601A1A3C" w14:textId="1C1DFAAC" w:rsidR="00946FCA" w:rsidRDefault="00946FCA" w:rsidP="00A04F49">
      <w:pPr>
        <w:pStyle w:val="BodyText"/>
      </w:pPr>
    </w:p>
    <w:p w14:paraId="2EE1BFC8" w14:textId="127E3325" w:rsidR="00734639" w:rsidRPr="004A5446" w:rsidRDefault="008301E3" w:rsidP="00734639">
      <w:pPr>
        <w:pStyle w:val="Proposal"/>
      </w:pPr>
      <w:bookmarkStart w:id="11" w:name="_Toc101718897"/>
      <w:r w:rsidRPr="008301E3">
        <w:lastRenderedPageBreak/>
        <w:t xml:space="preserve">Add FG 2-32 “Basic CSI feedback” as a prerequisite </w:t>
      </w:r>
      <w:r w:rsidR="00734639" w:rsidRPr="00F9723D">
        <w:t>for FG 25-</w:t>
      </w:r>
      <w:r w:rsidR="00734639">
        <w:t>11</w:t>
      </w:r>
      <w:r w:rsidR="00734639" w:rsidRPr="00F9723D">
        <w:t xml:space="preserve"> </w:t>
      </w:r>
      <w:r w:rsidRPr="008301E3">
        <w:t>“</w:t>
      </w:r>
      <w:r w:rsidRPr="00EE7344">
        <w:rPr>
          <w:rFonts w:cs="Arial"/>
        </w:rPr>
        <w:t xml:space="preserve">4-bits </w:t>
      </w:r>
      <w:proofErr w:type="spellStart"/>
      <w:r w:rsidRPr="00EE7344">
        <w:rPr>
          <w:rFonts w:cs="Arial"/>
        </w:rPr>
        <w:t>subband</w:t>
      </w:r>
      <w:proofErr w:type="spellEnd"/>
      <w:r w:rsidRPr="00EE7344">
        <w:rPr>
          <w:rFonts w:cs="Arial"/>
        </w:rPr>
        <w:t xml:space="preserve"> CQI</w:t>
      </w:r>
      <w:r w:rsidRPr="008301E3">
        <w:t>”</w:t>
      </w:r>
      <w:r w:rsidR="00734639" w:rsidRPr="008301E3">
        <w:t>.</w:t>
      </w:r>
      <w:bookmarkEnd w:id="11"/>
    </w:p>
    <w:p w14:paraId="14EAEF1B" w14:textId="0A4F933B" w:rsidR="008301E3" w:rsidRPr="008301E3" w:rsidRDefault="008301E3" w:rsidP="00734639">
      <w:pPr>
        <w:pStyle w:val="Proposal"/>
      </w:pPr>
      <w:bookmarkStart w:id="12" w:name="_Toc101718898"/>
      <w:r>
        <w:t xml:space="preserve">Confirm </w:t>
      </w:r>
      <w:r w:rsidRPr="001C2817">
        <w:t>FG 25-11 “</w:t>
      </w:r>
      <w:r w:rsidRPr="001C2817">
        <w:rPr>
          <w:rFonts w:cs="Arial"/>
        </w:rPr>
        <w:t xml:space="preserve">4-bits </w:t>
      </w:r>
      <w:proofErr w:type="spellStart"/>
      <w:r w:rsidRPr="001C2817">
        <w:rPr>
          <w:rFonts w:cs="Arial"/>
        </w:rPr>
        <w:t>subband</w:t>
      </w:r>
      <w:proofErr w:type="spellEnd"/>
      <w:r w:rsidRPr="001C2817">
        <w:rPr>
          <w:rFonts w:cs="Arial"/>
        </w:rPr>
        <w:t xml:space="preserve"> CQI</w:t>
      </w:r>
      <w:r w:rsidRPr="001C2817">
        <w:t>”</w:t>
      </w:r>
      <w:r>
        <w:t xml:space="preserve"> as a “Per UE” capability.</w:t>
      </w:r>
      <w:bookmarkEnd w:id="12"/>
    </w:p>
    <w:p w14:paraId="452647D7" w14:textId="77777777" w:rsidR="00946FCA" w:rsidRDefault="00946FCA" w:rsidP="00A04F49">
      <w:pPr>
        <w:pStyle w:val="BodyText"/>
      </w:pPr>
    </w:p>
    <w:p w14:paraId="56689F38" w14:textId="65280529" w:rsidR="00F63950" w:rsidRDefault="003C71E9" w:rsidP="00F63950">
      <w:pPr>
        <w:pStyle w:val="Heading2"/>
      </w:pPr>
      <w:r w:rsidRPr="003C71E9">
        <w:t xml:space="preserve">Enhancements for </w:t>
      </w:r>
      <w:r>
        <w:t>U</w:t>
      </w:r>
      <w:r w:rsidRPr="003C71E9">
        <w:t xml:space="preserve">nlicensed </w:t>
      </w:r>
      <w:r>
        <w:t>B</w:t>
      </w:r>
      <w:r w:rsidRPr="003C71E9">
        <w:t>and URLLC/</w:t>
      </w:r>
      <w:proofErr w:type="spellStart"/>
      <w:r w:rsidRPr="003C71E9">
        <w:t>IIoT</w:t>
      </w:r>
      <w:proofErr w:type="spellEnd"/>
    </w:p>
    <w:p w14:paraId="1E1FC6C4" w14:textId="01F11BFF" w:rsidR="003C71E9" w:rsidRDefault="000B0927" w:rsidP="003C71E9">
      <w:pPr>
        <w:rPr>
          <w:sz w:val="22"/>
          <w:szCs w:val="22"/>
        </w:rPr>
      </w:pPr>
      <w:r w:rsidRPr="001A59BD">
        <w:rPr>
          <w:sz w:val="22"/>
          <w:szCs w:val="22"/>
        </w:rPr>
        <w:t xml:space="preserve">The remain </w:t>
      </w:r>
      <w:r w:rsidR="001C0C40" w:rsidRPr="001A59BD">
        <w:rPr>
          <w:sz w:val="22"/>
          <w:szCs w:val="22"/>
        </w:rPr>
        <w:t>issue</w:t>
      </w:r>
      <w:r w:rsidRPr="001A59BD">
        <w:rPr>
          <w:sz w:val="22"/>
          <w:szCs w:val="22"/>
        </w:rPr>
        <w:t xml:space="preserve"> with respect to UE features for operation on shared spectrum was whether to update the</w:t>
      </w:r>
      <w:r w:rsidR="001C0C40" w:rsidRPr="001A59BD">
        <w:rPr>
          <w:sz w:val="22"/>
          <w:szCs w:val="22"/>
        </w:rPr>
        <w:t xml:space="preserve"> component description of FG 25-12 </w:t>
      </w:r>
      <w:r w:rsidR="001925D2" w:rsidRPr="001A59BD">
        <w:rPr>
          <w:sz w:val="22"/>
          <w:szCs w:val="22"/>
        </w:rPr>
        <w:t>as</w:t>
      </w:r>
      <w:r w:rsidR="00DD24B0" w:rsidRPr="001A59BD">
        <w:rPr>
          <w:sz w:val="22"/>
          <w:szCs w:val="22"/>
        </w:rPr>
        <w:t xml:space="preserve"> </w:t>
      </w:r>
      <w:r w:rsidR="006B3392" w:rsidRPr="001A59BD">
        <w:rPr>
          <w:sz w:val="22"/>
          <w:szCs w:val="22"/>
        </w:rPr>
        <w:t>the following</w:t>
      </w:r>
      <w:r w:rsidR="00C4751D">
        <w:rPr>
          <w:sz w:val="22"/>
          <w:szCs w:val="22"/>
        </w:rPr>
        <w:t>:</w:t>
      </w:r>
    </w:p>
    <w:p w14:paraId="019C1FD4" w14:textId="77777777" w:rsidR="00076E4F" w:rsidRPr="001A59BD" w:rsidRDefault="00076E4F" w:rsidP="003C71E9">
      <w:pPr>
        <w:rPr>
          <w:sz w:val="22"/>
          <w:szCs w:val="22"/>
        </w:rPr>
      </w:pPr>
    </w:p>
    <w:p w14:paraId="55BDE872" w14:textId="054C8B65" w:rsidR="00076E4F" w:rsidRDefault="00076E4F" w:rsidP="00076E4F">
      <w:pPr>
        <w:pStyle w:val="Caption"/>
        <w:keepNext/>
        <w:jc w:val="center"/>
      </w:pPr>
      <w:bookmarkStart w:id="13" w:name="_Ref86883564"/>
      <w:r>
        <w:t xml:space="preserve">Table </w:t>
      </w:r>
      <w:r w:rsidR="003A08B7">
        <w:fldChar w:fldCharType="begin"/>
      </w:r>
      <w:r w:rsidR="003A08B7">
        <w:instrText xml:space="preserve"> SEQ Table \* ARABIC </w:instrText>
      </w:r>
      <w:r w:rsidR="003A08B7">
        <w:fldChar w:fldCharType="separate"/>
      </w:r>
      <w:r w:rsidR="00371129">
        <w:rPr>
          <w:noProof/>
        </w:rPr>
        <w:t>2</w:t>
      </w:r>
      <w:r w:rsidR="003A08B7">
        <w:rPr>
          <w:noProof/>
        </w:rPr>
        <w:fldChar w:fldCharType="end"/>
      </w:r>
      <w:bookmarkEnd w:id="13"/>
      <w:r>
        <w:t xml:space="preserve">: </w:t>
      </w:r>
      <w:r w:rsidR="003951C7">
        <w:t>FG 25-12 with p</w:t>
      </w:r>
      <w:r>
        <w:t xml:space="preserve">roposed </w:t>
      </w:r>
      <w:r w:rsidR="008F6F76">
        <w:t>update</w:t>
      </w:r>
      <w:r w:rsidR="00764678">
        <w:t>s</w:t>
      </w:r>
      <w:r w:rsidR="008F6F76">
        <w:t xml:space="preserve"> for component description </w:t>
      </w:r>
    </w:p>
    <w:tbl>
      <w:tblP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11"/>
      </w:tblGrid>
      <w:tr w:rsidR="006B3392" w14:paraId="385607AF" w14:textId="77777777" w:rsidTr="006B3392">
        <w:trPr>
          <w:trHeight w:val="28"/>
        </w:trPr>
        <w:tc>
          <w:tcPr>
            <w:tcW w:w="704" w:type="dxa"/>
            <w:tcBorders>
              <w:top w:val="single" w:sz="4" w:space="0" w:color="auto"/>
              <w:left w:val="single" w:sz="4" w:space="0" w:color="auto"/>
              <w:bottom w:val="single" w:sz="4" w:space="0" w:color="auto"/>
              <w:right w:val="single" w:sz="4" w:space="0" w:color="auto"/>
            </w:tcBorders>
            <w:hideMark/>
          </w:tcPr>
          <w:p w14:paraId="06A17D8E" w14:textId="77777777" w:rsidR="006B3392" w:rsidRDefault="006B3392">
            <w:pPr>
              <w:pStyle w:val="TAL"/>
              <w:rPr>
                <w:rFonts w:asciiTheme="majorHAnsi" w:hAnsiTheme="majorHAnsi" w:cstheme="majorHAnsi"/>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7C5A51A0" w14:textId="77777777" w:rsidR="006B3392" w:rsidRDefault="006B3392">
            <w:pPr>
              <w:pStyle w:val="TAL"/>
              <w:rPr>
                <w:lang w:eastAsia="ja-JP"/>
              </w:rPr>
            </w:pPr>
            <w:r>
              <w:rPr>
                <w:rFonts w:cs="Arial"/>
                <w:szCs w:val="18"/>
                <w:lang w:eastAsia="ja-JP"/>
              </w:rPr>
              <w:t xml:space="preserve">UE initiating a semi-static channel occupancy with configurations dependent on </w:t>
            </w:r>
            <w:proofErr w:type="spellStart"/>
            <w:r>
              <w:rPr>
                <w:rFonts w:cs="Arial"/>
                <w:szCs w:val="18"/>
                <w:lang w:eastAsia="ja-JP"/>
              </w:rPr>
              <w:t>gNB</w:t>
            </w:r>
            <w:proofErr w:type="spellEnd"/>
            <w:r>
              <w:rPr>
                <w:rFonts w:cs="Arial"/>
                <w:szCs w:val="18"/>
                <w:lang w:eastAsia="ja-JP"/>
              </w:rPr>
              <w:t xml:space="preserve"> semi-static channel access configurations</w:t>
            </w:r>
          </w:p>
        </w:tc>
        <w:tc>
          <w:tcPr>
            <w:tcW w:w="7011" w:type="dxa"/>
            <w:tcBorders>
              <w:top w:val="single" w:sz="4" w:space="0" w:color="auto"/>
              <w:left w:val="single" w:sz="4" w:space="0" w:color="auto"/>
              <w:bottom w:val="single" w:sz="4" w:space="0" w:color="auto"/>
              <w:right w:val="single" w:sz="4" w:space="0" w:color="auto"/>
            </w:tcBorders>
          </w:tcPr>
          <w:p w14:paraId="2FFA6B4D" w14:textId="77777777" w:rsidR="006B3392" w:rsidRDefault="006B3392">
            <w:pPr>
              <w:spacing w:afterLines="50" w:after="120"/>
              <w:contextualSpacing/>
              <w:rPr>
                <w:rFonts w:ascii="Arial" w:eastAsia="SimSun" w:hAnsi="Arial" w:cs="Arial"/>
                <w:sz w:val="18"/>
                <w:szCs w:val="18"/>
                <w:lang w:eastAsia="en-US"/>
              </w:rPr>
            </w:pPr>
            <w:r>
              <w:rPr>
                <w:rFonts w:ascii="Arial" w:hAnsi="Arial" w:cs="Arial"/>
                <w:color w:val="FF0000"/>
                <w:sz w:val="18"/>
                <w:szCs w:val="18"/>
              </w:rPr>
              <w:t xml:space="preserve">1. </w:t>
            </w: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Pr>
                <w:rFonts w:ascii="Arial" w:hAnsi="Arial" w:cs="Arial"/>
                <w:sz w:val="18"/>
                <w:szCs w:val="18"/>
              </w:rPr>
              <w:t>gNB</w:t>
            </w:r>
            <w:proofErr w:type="spellEnd"/>
            <w:r>
              <w:rPr>
                <w:rFonts w:ascii="Arial" w:hAnsi="Arial" w:cs="Arial"/>
                <w:sz w:val="18"/>
                <w:szCs w:val="18"/>
              </w:rPr>
              <w:t>.</w:t>
            </w:r>
          </w:p>
          <w:p w14:paraId="4371E176" w14:textId="010FBB0B" w:rsidR="00984B6C" w:rsidRPr="00CF5D2C" w:rsidRDefault="00984B6C">
            <w:pPr>
              <w:pStyle w:val="TAL"/>
              <w:rPr>
                <w:color w:val="FF0000"/>
              </w:rPr>
            </w:pPr>
            <w:r w:rsidRPr="00CF5D2C">
              <w:rPr>
                <w:color w:val="FF0000"/>
                <w:lang w:val="en-US"/>
              </w:rPr>
              <w:t>2. Sensing to initiate a semi-static CO or transmit after a gap greater than 16us from any transmission burst within a UE-initiated CO.</w:t>
            </w:r>
          </w:p>
          <w:p w14:paraId="6FF89E08" w14:textId="29098F8C" w:rsidR="006B3392" w:rsidRPr="00602D71" w:rsidRDefault="006B3392">
            <w:pPr>
              <w:pStyle w:val="TAL"/>
              <w:rPr>
                <w:color w:val="FF0000"/>
                <w:lang w:val="en-US"/>
              </w:rPr>
            </w:pPr>
            <w:r w:rsidRPr="00CF5D2C">
              <w:rPr>
                <w:color w:val="FF0000"/>
              </w:rPr>
              <w:t>3. Determination of COT initiator assumption based on rules for configured UL</w:t>
            </w:r>
            <w:r w:rsidR="00602D71">
              <w:rPr>
                <w:color w:val="FF0000"/>
                <w:lang w:val="en-US"/>
              </w:rPr>
              <w:t>.</w:t>
            </w:r>
          </w:p>
          <w:p w14:paraId="2FD37AFD" w14:textId="6ED4AAEC" w:rsidR="006B3392" w:rsidRPr="00602D71" w:rsidRDefault="006B3392">
            <w:pPr>
              <w:pStyle w:val="TAL"/>
              <w:rPr>
                <w:color w:val="FF0000"/>
                <w:lang w:val="en-US"/>
              </w:rPr>
            </w:pPr>
            <w:r w:rsidRPr="00CF5D2C">
              <w:rPr>
                <w:color w:val="FF0000"/>
              </w:rPr>
              <w:t>4. Validating COT initiator assumption indicated in UL scheduling DCI</w:t>
            </w:r>
            <w:r w:rsidR="00602D71">
              <w:rPr>
                <w:color w:val="FF0000"/>
                <w:lang w:val="en-US"/>
              </w:rPr>
              <w:t>.</w:t>
            </w:r>
          </w:p>
          <w:p w14:paraId="5F220CE8" w14:textId="77777777" w:rsidR="006B3392" w:rsidRDefault="006B3392">
            <w:pPr>
              <w:pStyle w:val="TAL"/>
              <w:rPr>
                <w:color w:val="FF0000"/>
              </w:rPr>
            </w:pPr>
          </w:p>
        </w:tc>
      </w:tr>
    </w:tbl>
    <w:p w14:paraId="630741A7" w14:textId="486ACBF7" w:rsidR="00540686" w:rsidRDefault="00540686" w:rsidP="003C71E9"/>
    <w:p w14:paraId="0A304D54" w14:textId="77777777" w:rsidR="00143D1A" w:rsidRDefault="00792A6B" w:rsidP="003C71E9">
      <w:pPr>
        <w:rPr>
          <w:sz w:val="22"/>
          <w:szCs w:val="22"/>
        </w:rPr>
      </w:pPr>
      <w:r w:rsidRPr="001A59BD">
        <w:rPr>
          <w:sz w:val="22"/>
          <w:szCs w:val="22"/>
        </w:rPr>
        <w:t xml:space="preserve">From our perspective, the proposed additions </w:t>
      </w:r>
      <w:r w:rsidR="00002151">
        <w:rPr>
          <w:sz w:val="22"/>
          <w:szCs w:val="22"/>
        </w:rPr>
        <w:t xml:space="preserve">are important to be included </w:t>
      </w:r>
      <w:r w:rsidR="00A045EB">
        <w:rPr>
          <w:sz w:val="22"/>
          <w:szCs w:val="22"/>
        </w:rPr>
        <w:t xml:space="preserve">and tested </w:t>
      </w:r>
      <w:r w:rsidR="00002151">
        <w:rPr>
          <w:sz w:val="22"/>
          <w:szCs w:val="22"/>
        </w:rPr>
        <w:t xml:space="preserve">to ensure proper </w:t>
      </w:r>
      <w:r w:rsidR="00A045EB">
        <w:rPr>
          <w:sz w:val="22"/>
          <w:szCs w:val="22"/>
        </w:rPr>
        <w:t>intra-operability</w:t>
      </w:r>
      <w:r w:rsidR="00143D1A">
        <w:rPr>
          <w:sz w:val="22"/>
          <w:szCs w:val="22"/>
        </w:rPr>
        <w:t xml:space="preserve">. </w:t>
      </w:r>
    </w:p>
    <w:p w14:paraId="5B43BDD3" w14:textId="558A68EE" w:rsidR="00337FBD" w:rsidRPr="004A5446" w:rsidRDefault="00337FBD" w:rsidP="00337FBD">
      <w:pPr>
        <w:pStyle w:val="Proposal"/>
      </w:pPr>
      <w:bookmarkStart w:id="14" w:name="_Toc101718899"/>
      <w:r>
        <w:t xml:space="preserve">Adopt </w:t>
      </w:r>
      <w:r w:rsidRPr="00F9723D">
        <w:t xml:space="preserve">the proposed changes in </w:t>
      </w:r>
      <w:r w:rsidRPr="00F9723D">
        <w:rPr>
          <w:color w:val="FF0000"/>
        </w:rPr>
        <w:t>red</w:t>
      </w:r>
      <w:r w:rsidRPr="00F9723D">
        <w:t xml:space="preserve"> in </w:t>
      </w:r>
      <w:r w:rsidR="00BE2E53">
        <w:fldChar w:fldCharType="begin"/>
      </w:r>
      <w:r w:rsidR="00BE2E53">
        <w:instrText xml:space="preserve"> REF _Ref86883564 \h </w:instrText>
      </w:r>
      <w:r w:rsidR="00BE2E53">
        <w:fldChar w:fldCharType="separate"/>
      </w:r>
      <w:r w:rsidR="004C41F1">
        <w:t xml:space="preserve">Table </w:t>
      </w:r>
      <w:r w:rsidR="004C41F1">
        <w:rPr>
          <w:noProof/>
        </w:rPr>
        <w:t>2</w:t>
      </w:r>
      <w:r w:rsidR="00BE2E53">
        <w:fldChar w:fldCharType="end"/>
      </w:r>
      <w:r w:rsidR="00BE2E53">
        <w:t xml:space="preserve"> </w:t>
      </w:r>
      <w:r w:rsidRPr="00F9723D">
        <w:t xml:space="preserve">for </w:t>
      </w:r>
      <w:r>
        <w:t xml:space="preserve">FG </w:t>
      </w:r>
      <w:r w:rsidR="007A1296">
        <w:t>25-12</w:t>
      </w:r>
      <w:r>
        <w:t>.</w:t>
      </w:r>
      <w:bookmarkEnd w:id="14"/>
    </w:p>
    <w:p w14:paraId="5DA34B7A" w14:textId="4BE22045" w:rsidR="003C71E9" w:rsidRDefault="003C71E9" w:rsidP="00CE0424">
      <w:pPr>
        <w:pStyle w:val="Heading2"/>
      </w:pPr>
      <w:r w:rsidRPr="003C71E9">
        <w:t>Intra-UE Multiplexing/Prioritization</w:t>
      </w:r>
    </w:p>
    <w:p w14:paraId="5438E2B3" w14:textId="6713D6EF" w:rsidR="00481193" w:rsidRDefault="00481193" w:rsidP="00481193">
      <w:pPr>
        <w:pStyle w:val="Heading3"/>
      </w:pPr>
      <w:r>
        <w:t>Prioritization of overlapping DG-PUSCH and CG-PUSCH</w:t>
      </w:r>
    </w:p>
    <w:p w14:paraId="5FFF4F24" w14:textId="3B5678CE" w:rsidR="00481193" w:rsidRDefault="00A71FF1" w:rsidP="00481193">
      <w:r>
        <w:t>I</w:t>
      </w:r>
      <w:r w:rsidR="00481193">
        <w:t>n RAN1#107e</w:t>
      </w:r>
      <w:r w:rsidR="00D33C7E">
        <w:t xml:space="preserve"> </w:t>
      </w:r>
      <w:r w:rsidR="0058027D">
        <w:t>AI 8.3</w:t>
      </w:r>
      <w:r w:rsidR="00481193">
        <w:t>, the following agreements were made:</w:t>
      </w:r>
    </w:p>
    <w:tbl>
      <w:tblPr>
        <w:tblStyle w:val="TableGrid"/>
        <w:tblW w:w="0" w:type="auto"/>
        <w:tblLook w:val="04A0" w:firstRow="1" w:lastRow="0" w:firstColumn="1" w:lastColumn="0" w:noHBand="0" w:noVBand="1"/>
      </w:tblPr>
      <w:tblGrid>
        <w:gridCol w:w="9621"/>
      </w:tblGrid>
      <w:tr w:rsidR="00481193" w:rsidRPr="00D75F97" w14:paraId="78935B6F" w14:textId="77777777" w:rsidTr="007A64D6">
        <w:tc>
          <w:tcPr>
            <w:tcW w:w="9629" w:type="dxa"/>
          </w:tcPr>
          <w:p w14:paraId="449C91E2" w14:textId="28C5FA4C" w:rsidR="00481193" w:rsidRPr="00D33C7E" w:rsidRDefault="00481193" w:rsidP="007A64D6">
            <w:pPr>
              <w:spacing w:after="0"/>
              <w:rPr>
                <w:rFonts w:ascii="Times" w:eastAsia="Batang" w:hAnsi="Times"/>
                <w:sz w:val="20"/>
                <w:szCs w:val="24"/>
                <w:lang w:val="en-GB" w:eastAsia="x-none"/>
              </w:rPr>
            </w:pPr>
            <w:r w:rsidRPr="00D75F97">
              <w:rPr>
                <w:rFonts w:ascii="Times" w:eastAsia="Batang" w:hAnsi="Times" w:cs="Times"/>
                <w:b/>
                <w:color w:val="000000"/>
                <w:sz w:val="20"/>
                <w:szCs w:val="20"/>
                <w:highlight w:val="green"/>
                <w:lang w:val="en-GB"/>
              </w:rPr>
              <w:t>Agreement</w:t>
            </w:r>
            <w:r w:rsidR="00D33C7E">
              <w:rPr>
                <w:rFonts w:ascii="Times" w:eastAsia="Batang" w:hAnsi="Times" w:cs="Times"/>
                <w:b/>
                <w:color w:val="000000"/>
                <w:sz w:val="20"/>
                <w:szCs w:val="20"/>
                <w:lang w:val="en-GB"/>
              </w:rPr>
              <w:t xml:space="preserve"> </w:t>
            </w:r>
            <w:r w:rsidR="00D33C7E" w:rsidRPr="00D33C7E">
              <w:rPr>
                <w:rFonts w:ascii="Times" w:eastAsia="Batang" w:hAnsi="Times"/>
                <w:sz w:val="20"/>
                <w:szCs w:val="24"/>
                <w:lang w:val="en-GB" w:eastAsia="x-none"/>
              </w:rPr>
              <w:t>(RAN1#107e)</w:t>
            </w:r>
          </w:p>
          <w:p w14:paraId="45956BAF" w14:textId="77777777" w:rsidR="00481193" w:rsidRPr="00D75F97" w:rsidRDefault="00481193" w:rsidP="007A64D6">
            <w:pPr>
              <w:spacing w:after="0"/>
              <w:rPr>
                <w:rFonts w:ascii="Times" w:eastAsia="Batang" w:hAnsi="Times"/>
                <w:sz w:val="20"/>
                <w:szCs w:val="24"/>
                <w:lang w:val="en-GB" w:eastAsia="x-none"/>
              </w:rPr>
            </w:pPr>
            <w:r w:rsidRPr="00D75F97">
              <w:rPr>
                <w:rFonts w:ascii="Times" w:eastAsia="Batang" w:hAnsi="Times"/>
                <w:sz w:val="20"/>
                <w:szCs w:val="24"/>
                <w:lang w:val="en-GB" w:eastAsia="x-none"/>
              </w:rPr>
              <w:t>For collision of LP DG-PUSCH and HP CG-PUSCH of different priorities, the cancellation is applied per actual repetition, if LP DG-PUSCH and/or HP CG-PUSCH is repeated.</w:t>
            </w:r>
          </w:p>
          <w:p w14:paraId="1051030D" w14:textId="77777777" w:rsidR="00481193" w:rsidRPr="00D75F97" w:rsidRDefault="00481193" w:rsidP="007A64D6">
            <w:pPr>
              <w:spacing w:after="0"/>
              <w:rPr>
                <w:rFonts w:ascii="Times" w:eastAsia="Batang" w:hAnsi="Times"/>
                <w:sz w:val="20"/>
                <w:szCs w:val="24"/>
                <w:lang w:val="en-GB" w:eastAsia="x-none"/>
              </w:rPr>
            </w:pPr>
          </w:p>
          <w:p w14:paraId="0EEEC179" w14:textId="2DFA9C5C" w:rsidR="00481193" w:rsidRPr="00D33C7E" w:rsidRDefault="00481193" w:rsidP="007A64D6">
            <w:pPr>
              <w:spacing w:after="0"/>
              <w:rPr>
                <w:rFonts w:ascii="Times" w:eastAsia="Batang" w:hAnsi="Times"/>
                <w:sz w:val="20"/>
                <w:szCs w:val="24"/>
                <w:lang w:val="en-GB" w:eastAsia="x-none"/>
              </w:rPr>
            </w:pPr>
            <w:proofErr w:type="gramStart"/>
            <w:r w:rsidRPr="00D75F97">
              <w:rPr>
                <w:rFonts w:eastAsia="Batang"/>
                <w:b/>
                <w:bCs/>
                <w:sz w:val="20"/>
                <w:szCs w:val="24"/>
                <w:highlight w:val="green"/>
                <w:lang w:val="en-GB" w:eastAsia="x-none"/>
              </w:rPr>
              <w:t>Agreement</w:t>
            </w:r>
            <w:r w:rsidR="00D33C7E">
              <w:rPr>
                <w:rFonts w:eastAsia="Batang"/>
                <w:b/>
                <w:bCs/>
                <w:sz w:val="20"/>
                <w:szCs w:val="24"/>
                <w:highlight w:val="green"/>
                <w:lang w:val="en-GB" w:eastAsia="x-none"/>
              </w:rPr>
              <w:t xml:space="preserve"> </w:t>
            </w:r>
            <w:r w:rsidR="00D33C7E">
              <w:rPr>
                <w:rFonts w:eastAsia="Batang"/>
                <w:b/>
                <w:bCs/>
                <w:sz w:val="20"/>
                <w:szCs w:val="24"/>
                <w:lang w:val="en-GB" w:eastAsia="x-none"/>
              </w:rPr>
              <w:t xml:space="preserve"> </w:t>
            </w:r>
            <w:r w:rsidR="00D33C7E" w:rsidRPr="00D33C7E">
              <w:rPr>
                <w:rFonts w:ascii="Times" w:eastAsia="Batang" w:hAnsi="Times"/>
                <w:sz w:val="20"/>
                <w:szCs w:val="24"/>
                <w:lang w:val="en-GB" w:eastAsia="x-none"/>
              </w:rPr>
              <w:t>(</w:t>
            </w:r>
            <w:proofErr w:type="gramEnd"/>
            <w:r w:rsidR="00D33C7E" w:rsidRPr="00D33C7E">
              <w:rPr>
                <w:rFonts w:ascii="Times" w:eastAsia="Batang" w:hAnsi="Times"/>
                <w:sz w:val="20"/>
                <w:szCs w:val="24"/>
                <w:lang w:val="en-GB" w:eastAsia="x-none"/>
              </w:rPr>
              <w:t>RAN1#107e)</w:t>
            </w:r>
          </w:p>
          <w:p w14:paraId="7880F7D3" w14:textId="30C8E178" w:rsidR="00481193" w:rsidRDefault="00481193" w:rsidP="007A64D6">
            <w:pPr>
              <w:spacing w:after="0"/>
              <w:rPr>
                <w:rFonts w:ascii="Times" w:eastAsia="Batang" w:hAnsi="Times"/>
                <w:sz w:val="20"/>
                <w:szCs w:val="24"/>
                <w:lang w:val="en-GB" w:eastAsia="x-none"/>
              </w:rPr>
            </w:pPr>
            <w:r w:rsidRPr="00D75F97">
              <w:rPr>
                <w:rFonts w:ascii="Times" w:eastAsia="Batang" w:hAnsi="Times"/>
                <w:sz w:val="20"/>
                <w:szCs w:val="24"/>
                <w:lang w:val="en-GB" w:eastAsia="x-none"/>
              </w:rPr>
              <w:t>For collision of HP DG-PUSCH and LP CG-PUSCH, the cancellation is applied per actual repetition, if HP DG-PUSCH and/or LP CG-PUSCH is repeated.</w:t>
            </w:r>
          </w:p>
          <w:p w14:paraId="0A4E4AAC" w14:textId="5C321102" w:rsidR="00D33C7E" w:rsidRPr="00D33C7E" w:rsidRDefault="00D33C7E" w:rsidP="00A71FF1">
            <w:pPr>
              <w:adjustRightInd/>
              <w:spacing w:after="0"/>
              <w:contextualSpacing/>
              <w:rPr>
                <w:rFonts w:ascii="Times" w:eastAsia="Malgun Gothic" w:hAnsi="Times"/>
                <w:sz w:val="20"/>
                <w:szCs w:val="20"/>
                <w:lang w:eastAsia="zh-CN"/>
              </w:rPr>
            </w:pPr>
          </w:p>
        </w:tc>
      </w:tr>
    </w:tbl>
    <w:p w14:paraId="5A8FB525" w14:textId="1CA7DB27" w:rsidR="00481193" w:rsidRDefault="00481193" w:rsidP="00481193"/>
    <w:p w14:paraId="317E2DFF" w14:textId="30E1152E" w:rsidR="00EA4852" w:rsidRDefault="00EA4852" w:rsidP="00EA4852">
      <w:r>
        <w:t xml:space="preserve">As shown in the agreements of AI 8.3, the UE is expected to apply cancellation per actual repetition, if (LP/HP) DG-PUSCH and/or (HP/LP) CG-PUSCH is repeated. </w:t>
      </w:r>
      <w:proofErr w:type="gramStart"/>
      <w:r>
        <w:t>Thus</w:t>
      </w:r>
      <w:proofErr w:type="gramEnd"/>
      <w:r>
        <w:t xml:space="preserve"> it</w:t>
      </w:r>
      <w:r w:rsidR="00226741">
        <w:t xml:space="preserve">’s necessary to </w:t>
      </w:r>
      <w:r>
        <w:t xml:space="preserve">add the support of PUSCH with repetition in </w:t>
      </w:r>
      <w:r w:rsidRPr="00EA4852">
        <w:t>25-14 and 25-15.</w:t>
      </w:r>
      <w:r>
        <w:t xml:space="preserve"> </w:t>
      </w:r>
    </w:p>
    <w:p w14:paraId="2BC1F448" w14:textId="27F20ADD" w:rsidR="007F1FB3" w:rsidRDefault="00226741" w:rsidP="000A7551">
      <w:pPr>
        <w:pStyle w:val="Proposal"/>
      </w:pPr>
      <w:bookmarkStart w:id="15" w:name="_Toc101718900"/>
      <w:r>
        <w:t>A</w:t>
      </w:r>
      <w:r w:rsidR="00EA4852">
        <w:t>dd support of PUSCH with repetition in the</w:t>
      </w:r>
      <w:r>
        <w:t xml:space="preserve"> component</w:t>
      </w:r>
      <w:r w:rsidR="00867055">
        <w:t>s</w:t>
      </w:r>
      <w:r>
        <w:t xml:space="preserve"> for</w:t>
      </w:r>
      <w:r w:rsidR="00EA4852">
        <w:t xml:space="preserve"> </w:t>
      </w:r>
      <w:r w:rsidR="00602D71">
        <w:t xml:space="preserve">FG </w:t>
      </w:r>
      <w:r w:rsidR="00EA4852">
        <w:t>25-14 and 25-15</w:t>
      </w:r>
      <w:r w:rsidR="00A71FF1">
        <w:t xml:space="preserve">: “2. </w:t>
      </w:r>
      <w:r w:rsidR="00A71FF1" w:rsidRPr="00A71FF1">
        <w:t>Support cancellation per actual repetition if LP DG-PUSCH and/or HP CG-PUSCH is repeated</w:t>
      </w:r>
      <w:r w:rsidR="00A71FF1">
        <w:t>”</w:t>
      </w:r>
      <w:r w:rsidR="00EA4852">
        <w:t>.</w:t>
      </w:r>
      <w:bookmarkEnd w:id="15"/>
    </w:p>
    <w:p w14:paraId="51EF4AAF" w14:textId="351CE1E2" w:rsidR="000A7551" w:rsidRDefault="000A7551" w:rsidP="00481193"/>
    <w:p w14:paraId="30125BD7" w14:textId="6C061E0B" w:rsidR="007E6DAA" w:rsidRDefault="007E6DAA" w:rsidP="00481193">
      <w:r>
        <w:t>In summary, 25-14 and 25-15 are to be updated as follows.</w:t>
      </w:r>
    </w:p>
    <w:tbl>
      <w:tblPr>
        <w:tblW w:w="79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160"/>
        <w:gridCol w:w="5130"/>
      </w:tblGrid>
      <w:tr w:rsidR="004527B7" w:rsidRPr="0058027D" w14:paraId="696ED5DA" w14:textId="77777777" w:rsidTr="00495E89">
        <w:trPr>
          <w:trHeight w:val="20"/>
        </w:trPr>
        <w:tc>
          <w:tcPr>
            <w:tcW w:w="648" w:type="dxa"/>
            <w:tcBorders>
              <w:top w:val="single" w:sz="4" w:space="0" w:color="auto"/>
              <w:left w:val="single" w:sz="4" w:space="0" w:color="auto"/>
              <w:bottom w:val="single" w:sz="4" w:space="0" w:color="auto"/>
              <w:right w:val="single" w:sz="4" w:space="0" w:color="auto"/>
            </w:tcBorders>
            <w:shd w:val="clear" w:color="auto" w:fill="auto"/>
            <w:hideMark/>
          </w:tcPr>
          <w:p w14:paraId="4FA7242F" w14:textId="455BF942" w:rsidR="004527B7" w:rsidRPr="0058027D" w:rsidRDefault="004527B7" w:rsidP="007A64D6">
            <w:pPr>
              <w:keepNext/>
              <w:keepLines/>
              <w:overflowPunct/>
              <w:autoSpaceDE/>
              <w:autoSpaceDN/>
              <w:adjustRightInd/>
              <w:spacing w:after="0"/>
              <w:textAlignment w:val="auto"/>
              <w:rPr>
                <w:rFonts w:ascii="Arial" w:eastAsia="MS Mincho" w:hAnsi="Arial" w:cs="Arial"/>
                <w:sz w:val="16"/>
                <w:szCs w:val="16"/>
              </w:rPr>
            </w:pPr>
            <w:r w:rsidRPr="0058027D">
              <w:rPr>
                <w:rFonts w:ascii="Arial" w:eastAsia="MS Mincho" w:hAnsi="Arial" w:cs="Arial"/>
                <w:sz w:val="16"/>
                <w:szCs w:val="16"/>
              </w:rPr>
              <w:t>25-14</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A23FEE8" w14:textId="77777777" w:rsidR="004527B7" w:rsidRPr="0058027D" w:rsidRDefault="004527B7" w:rsidP="007A64D6">
            <w:pPr>
              <w:keepNext/>
              <w:keepLines/>
              <w:overflowPunct/>
              <w:autoSpaceDE/>
              <w:autoSpaceDN/>
              <w:adjustRightInd/>
              <w:spacing w:after="0" w:line="256" w:lineRule="auto"/>
              <w:textAlignment w:val="auto"/>
              <w:rPr>
                <w:rFonts w:ascii="Arial" w:hAnsi="Arial" w:cs="Arial"/>
                <w:sz w:val="16"/>
                <w:szCs w:val="16"/>
                <w:lang w:eastAsia="en-US"/>
              </w:rPr>
            </w:pPr>
            <w:r w:rsidRPr="0058027D">
              <w:rPr>
                <w:rFonts w:ascii="Arial" w:hAnsi="Arial" w:cs="Arial"/>
                <w:sz w:val="16"/>
                <w:szCs w:val="16"/>
                <w:lang w:val="en-US"/>
              </w:rPr>
              <w:t>PHY prioritization of overlapping low-priority DG-PUSCH and high-priority CG-PUSCH</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53D0343" w14:textId="77777777" w:rsidR="004527B7" w:rsidRPr="004527B7" w:rsidRDefault="004527B7" w:rsidP="003427D3">
            <w:pPr>
              <w:pStyle w:val="ListParagraph"/>
              <w:keepNext/>
              <w:keepLines/>
              <w:numPr>
                <w:ilvl w:val="0"/>
                <w:numId w:val="17"/>
              </w:numPr>
              <w:overflowPunct/>
              <w:autoSpaceDE/>
              <w:autoSpaceDN/>
              <w:adjustRightInd/>
              <w:spacing w:line="256" w:lineRule="auto"/>
              <w:ind w:left="344"/>
              <w:textAlignment w:val="auto"/>
              <w:rPr>
                <w:rFonts w:ascii="Arial" w:hAnsi="Arial" w:cs="Arial"/>
                <w:sz w:val="16"/>
                <w:szCs w:val="16"/>
              </w:rPr>
            </w:pPr>
            <w:r w:rsidRPr="004527B7">
              <w:rPr>
                <w:rFonts w:ascii="Arial" w:hAnsi="Arial" w:cs="Arial"/>
                <w:sz w:val="16"/>
                <w:szCs w:val="16"/>
                <w:lang w:val="en-US"/>
              </w:rPr>
              <w:t>Support PHY prioritization for the case where low-priority DG-PUSCH collides with high-priority CG-PUSCH</w:t>
            </w:r>
          </w:p>
          <w:p w14:paraId="31F6F056" w14:textId="51D46480" w:rsidR="004527B7" w:rsidRPr="004527B7" w:rsidRDefault="004527B7" w:rsidP="003427D3">
            <w:pPr>
              <w:pStyle w:val="ListParagraph"/>
              <w:keepNext/>
              <w:keepLines/>
              <w:numPr>
                <w:ilvl w:val="0"/>
                <w:numId w:val="17"/>
              </w:numPr>
              <w:overflowPunct/>
              <w:autoSpaceDE/>
              <w:autoSpaceDN/>
              <w:adjustRightInd/>
              <w:spacing w:line="256" w:lineRule="auto"/>
              <w:ind w:left="344"/>
              <w:textAlignment w:val="auto"/>
              <w:rPr>
                <w:rFonts w:ascii="Arial" w:hAnsi="Arial" w:cs="Arial"/>
                <w:sz w:val="16"/>
                <w:szCs w:val="16"/>
              </w:rPr>
            </w:pPr>
            <w:r w:rsidRPr="00CF5D2C">
              <w:rPr>
                <w:rFonts w:ascii="Arial" w:hAnsi="Arial" w:cs="Arial"/>
                <w:color w:val="FF0000"/>
                <w:sz w:val="16"/>
                <w:szCs w:val="16"/>
                <w:lang w:val="en-US"/>
              </w:rPr>
              <w:t xml:space="preserve">Support cancellation </w:t>
            </w:r>
            <w:r w:rsidRPr="00CF5D2C">
              <w:rPr>
                <w:rFonts w:ascii="Arial" w:hAnsi="Arial" w:cs="Arial"/>
                <w:color w:val="FF0000"/>
                <w:sz w:val="16"/>
                <w:szCs w:val="16"/>
              </w:rPr>
              <w:t xml:space="preserve">per actual </w:t>
            </w:r>
            <w:r w:rsidR="007E6DAA" w:rsidRPr="00CF5D2C">
              <w:rPr>
                <w:rFonts w:ascii="Arial" w:hAnsi="Arial" w:cs="Arial"/>
                <w:color w:val="FF0000"/>
                <w:sz w:val="16"/>
                <w:szCs w:val="16"/>
              </w:rPr>
              <w:t>repetition if</w:t>
            </w:r>
            <w:r w:rsidRPr="00CF5D2C">
              <w:rPr>
                <w:rFonts w:ascii="Arial" w:hAnsi="Arial" w:cs="Arial"/>
                <w:color w:val="FF0000"/>
                <w:sz w:val="16"/>
                <w:szCs w:val="16"/>
              </w:rPr>
              <w:t xml:space="preserve"> LP DG-PUSCH and/or HP CG-PUSCH is repeated</w:t>
            </w:r>
          </w:p>
        </w:tc>
      </w:tr>
    </w:tbl>
    <w:p w14:paraId="414F1F18" w14:textId="77777777" w:rsidR="004527B7" w:rsidRDefault="004527B7" w:rsidP="00481193"/>
    <w:p w14:paraId="4AD86AAD" w14:textId="35422821" w:rsidR="00481193" w:rsidRDefault="00413DA1" w:rsidP="00481193">
      <w:pPr>
        <w:pStyle w:val="Heading3"/>
      </w:pPr>
      <w:r>
        <w:lastRenderedPageBreak/>
        <w:t>Simultaneous PUCCH and PUSCH transmission</w:t>
      </w:r>
    </w:p>
    <w:p w14:paraId="460A412C" w14:textId="642183A4" w:rsidR="00413DA1" w:rsidRDefault="00413DA1" w:rsidP="00413DA1">
      <w:r>
        <w:t>In RAN1#107e AI 8.3, the following conclusions were made:</w:t>
      </w:r>
    </w:p>
    <w:tbl>
      <w:tblPr>
        <w:tblStyle w:val="TableGrid"/>
        <w:tblW w:w="0" w:type="auto"/>
        <w:tblLook w:val="04A0" w:firstRow="1" w:lastRow="0" w:firstColumn="1" w:lastColumn="0" w:noHBand="0" w:noVBand="1"/>
      </w:tblPr>
      <w:tblGrid>
        <w:gridCol w:w="9621"/>
      </w:tblGrid>
      <w:tr w:rsidR="00413DA1" w14:paraId="252DD24E" w14:textId="77777777" w:rsidTr="00413DA1">
        <w:tc>
          <w:tcPr>
            <w:tcW w:w="9962" w:type="dxa"/>
          </w:tcPr>
          <w:p w14:paraId="69E9B6E0" w14:textId="77777777" w:rsidR="00413DA1" w:rsidRPr="002E566D" w:rsidRDefault="00413DA1" w:rsidP="00413DA1">
            <w:pPr>
              <w:spacing w:after="0"/>
              <w:rPr>
                <w:rFonts w:eastAsia="Malgun Gothic"/>
                <w:b/>
                <w:bCs/>
                <w:color w:val="000000"/>
                <w:lang w:val="en-US" w:eastAsia="zh-CN"/>
              </w:rPr>
            </w:pPr>
            <w:r w:rsidRPr="002E566D">
              <w:rPr>
                <w:rFonts w:ascii="Times" w:eastAsia="Batang" w:hAnsi="Times"/>
                <w:b/>
                <w:bCs/>
                <w:color w:val="000000"/>
                <w:lang w:eastAsia="zh-CN"/>
              </w:rPr>
              <w:t>Conclusion</w:t>
            </w:r>
          </w:p>
          <w:p w14:paraId="4619A696" w14:textId="77777777" w:rsidR="00413DA1" w:rsidRPr="002E566D" w:rsidRDefault="00413DA1" w:rsidP="00413DA1">
            <w:pPr>
              <w:spacing w:after="0"/>
              <w:jc w:val="both"/>
              <w:rPr>
                <w:rFonts w:ascii="Times" w:eastAsia="Batang" w:hAnsi="Times"/>
                <w:color w:val="000000"/>
                <w:lang w:eastAsia="zh-CN"/>
              </w:rPr>
            </w:pPr>
            <w:r w:rsidRPr="002E566D">
              <w:rPr>
                <w:rFonts w:ascii="Times" w:eastAsia="Batang" w:hAnsi="Times"/>
                <w:color w:val="000000"/>
                <w:lang w:eastAsia="zh-CN"/>
              </w:rPr>
              <w:t>There is no consensus in RAN1 to support simultaneous PUCCH/PUSCH transmission of same priority over different cells in Rel-17.</w:t>
            </w:r>
          </w:p>
          <w:p w14:paraId="6118A1F4" w14:textId="77777777" w:rsidR="00413DA1" w:rsidRPr="002E566D" w:rsidRDefault="00413DA1" w:rsidP="00413DA1">
            <w:pPr>
              <w:spacing w:after="0"/>
              <w:jc w:val="both"/>
              <w:rPr>
                <w:rFonts w:ascii="Times" w:eastAsia="Batang" w:hAnsi="Times"/>
                <w:b/>
                <w:bCs/>
                <w:color w:val="000000"/>
                <w:lang w:eastAsia="zh-CN"/>
              </w:rPr>
            </w:pPr>
          </w:p>
          <w:p w14:paraId="090A0933" w14:textId="77777777" w:rsidR="00413DA1" w:rsidRPr="002E566D" w:rsidRDefault="00413DA1" w:rsidP="00413DA1">
            <w:pPr>
              <w:spacing w:after="0"/>
              <w:rPr>
                <w:rFonts w:ascii="Times" w:eastAsia="Batang" w:hAnsi="Times"/>
                <w:b/>
                <w:bCs/>
                <w:color w:val="000000"/>
                <w:lang w:val="en-US" w:eastAsia="zh-CN"/>
              </w:rPr>
            </w:pPr>
            <w:r w:rsidRPr="002E566D">
              <w:rPr>
                <w:rFonts w:ascii="Times" w:eastAsia="Batang" w:hAnsi="Times"/>
                <w:b/>
                <w:bCs/>
                <w:color w:val="000000"/>
                <w:lang w:eastAsia="zh-CN"/>
              </w:rPr>
              <w:t>Conclusion</w:t>
            </w:r>
          </w:p>
          <w:p w14:paraId="61701DA3" w14:textId="3B3F58C3" w:rsidR="00413DA1" w:rsidRPr="00413DA1" w:rsidRDefault="00413DA1" w:rsidP="00413DA1">
            <w:pPr>
              <w:spacing w:after="0"/>
              <w:jc w:val="both"/>
              <w:rPr>
                <w:rFonts w:ascii="Times" w:eastAsia="Batang" w:hAnsi="Times"/>
                <w:lang w:eastAsia="zh-CN"/>
              </w:rPr>
            </w:pPr>
            <w:r w:rsidRPr="002E566D">
              <w:rPr>
                <w:rFonts w:ascii="Times" w:eastAsia="Batang" w:hAnsi="Times"/>
                <w:lang w:eastAsia="zh-CN"/>
              </w:rPr>
              <w:t>There is no consensus in RAN1 to support simultaneous PUCCH/PUSCH transmissions on different cells for intra-band CA in Rel-17.</w:t>
            </w:r>
          </w:p>
        </w:tc>
      </w:tr>
    </w:tbl>
    <w:p w14:paraId="74C41F17" w14:textId="77777777" w:rsidR="00413DA1" w:rsidRPr="00413DA1" w:rsidRDefault="00413DA1" w:rsidP="00413DA1"/>
    <w:p w14:paraId="0E3144D3" w14:textId="77777777" w:rsidR="00413DA1" w:rsidRDefault="00413DA1" w:rsidP="00481193">
      <w:pPr>
        <w:rPr>
          <w:rFonts w:ascii="Times" w:eastAsia="Batang" w:hAnsi="Times"/>
          <w:color w:val="000000"/>
          <w:lang w:eastAsia="zh-CN"/>
        </w:rPr>
      </w:pPr>
      <w:r>
        <w:t xml:space="preserve">Thus, Rel-17 only supports </w:t>
      </w:r>
      <w:r w:rsidRPr="002E566D">
        <w:rPr>
          <w:rFonts w:ascii="Times" w:eastAsia="Batang" w:hAnsi="Times"/>
          <w:color w:val="000000"/>
          <w:lang w:eastAsia="zh-CN"/>
        </w:rPr>
        <w:t xml:space="preserve">simultaneous PUCCH/PUSCH transmission of </w:t>
      </w:r>
      <w:r>
        <w:rPr>
          <w:rFonts w:ascii="Times" w:eastAsia="Batang" w:hAnsi="Times"/>
          <w:color w:val="000000"/>
          <w:lang w:eastAsia="zh-CN"/>
        </w:rPr>
        <w:t>different</w:t>
      </w:r>
      <w:r w:rsidRPr="002E566D">
        <w:rPr>
          <w:rFonts w:ascii="Times" w:eastAsia="Batang" w:hAnsi="Times"/>
          <w:color w:val="000000"/>
          <w:lang w:eastAsia="zh-CN"/>
        </w:rPr>
        <w:t xml:space="preserve"> priorit</w:t>
      </w:r>
      <w:r>
        <w:rPr>
          <w:rFonts w:ascii="Times" w:eastAsia="Batang" w:hAnsi="Times"/>
          <w:color w:val="000000"/>
          <w:lang w:eastAsia="zh-CN"/>
        </w:rPr>
        <w:t>ies</w:t>
      </w:r>
      <w:r w:rsidRPr="002E566D">
        <w:rPr>
          <w:rFonts w:ascii="Times" w:eastAsia="Batang" w:hAnsi="Times"/>
          <w:color w:val="000000"/>
          <w:lang w:eastAsia="zh-CN"/>
        </w:rPr>
        <w:t xml:space="preserve"> o</w:t>
      </w:r>
      <w:r>
        <w:rPr>
          <w:rFonts w:ascii="Times" w:eastAsia="Batang" w:hAnsi="Times"/>
          <w:color w:val="000000"/>
          <w:lang w:eastAsia="zh-CN"/>
        </w:rPr>
        <w:t>n</w:t>
      </w:r>
      <w:r w:rsidRPr="002E566D">
        <w:rPr>
          <w:rFonts w:ascii="Times" w:eastAsia="Batang" w:hAnsi="Times"/>
          <w:color w:val="000000"/>
          <w:lang w:eastAsia="zh-CN"/>
        </w:rPr>
        <w:t xml:space="preserve"> different cells </w:t>
      </w:r>
      <w:r>
        <w:rPr>
          <w:rFonts w:ascii="Times" w:eastAsia="Batang" w:hAnsi="Times"/>
          <w:color w:val="000000"/>
          <w:lang w:eastAsia="zh-CN"/>
        </w:rPr>
        <w:t>for inter-band CA</w:t>
      </w:r>
      <w:r w:rsidRPr="002E566D">
        <w:rPr>
          <w:rFonts w:ascii="Times" w:eastAsia="Batang" w:hAnsi="Times"/>
          <w:color w:val="000000"/>
          <w:lang w:eastAsia="zh-CN"/>
        </w:rPr>
        <w:t>.</w:t>
      </w:r>
      <w:r>
        <w:rPr>
          <w:rFonts w:ascii="Times" w:eastAsia="Batang" w:hAnsi="Times"/>
          <w:color w:val="000000"/>
          <w:lang w:eastAsia="zh-CN"/>
        </w:rPr>
        <w:t xml:space="preserve"> Accordingly FG 25-18 can be finalized as below:</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720"/>
        <w:gridCol w:w="2520"/>
        <w:gridCol w:w="5400"/>
      </w:tblGrid>
      <w:tr w:rsidR="00413DA1" w:rsidRPr="00413DA1" w14:paraId="4D4A69A3" w14:textId="77777777" w:rsidTr="00413DA1">
        <w:trPr>
          <w:trHeight w:val="20"/>
        </w:trPr>
        <w:tc>
          <w:tcPr>
            <w:tcW w:w="1345" w:type="dxa"/>
            <w:tcBorders>
              <w:top w:val="single" w:sz="4" w:space="0" w:color="auto"/>
              <w:left w:val="single" w:sz="4" w:space="0" w:color="auto"/>
              <w:bottom w:val="single" w:sz="4" w:space="0" w:color="auto"/>
              <w:right w:val="single" w:sz="4" w:space="0" w:color="auto"/>
            </w:tcBorders>
            <w:hideMark/>
          </w:tcPr>
          <w:p w14:paraId="6EA846A6" w14:textId="77777777" w:rsidR="00413DA1" w:rsidRPr="00413DA1" w:rsidRDefault="00413DA1" w:rsidP="00413DA1">
            <w:pPr>
              <w:keepNext/>
              <w:keepLines/>
              <w:overflowPunct/>
              <w:autoSpaceDE/>
              <w:autoSpaceDN/>
              <w:adjustRightInd/>
              <w:spacing w:after="0"/>
              <w:textAlignment w:val="auto"/>
              <w:rPr>
                <w:rFonts w:ascii="Arial" w:eastAsia="MS Mincho" w:hAnsi="Arial"/>
                <w:sz w:val="18"/>
              </w:rPr>
            </w:pPr>
            <w:r w:rsidRPr="00413DA1">
              <w:rPr>
                <w:rFonts w:ascii="Arial" w:eastAsia="MS Mincho" w:hAnsi="Arial"/>
                <w:sz w:val="18"/>
              </w:rPr>
              <w:t>25.</w:t>
            </w:r>
            <w:r w:rsidRPr="00413DA1">
              <w:rPr>
                <w:rFonts w:ascii="Arial" w:eastAsia="MS Mincho" w:hAnsi="Arial"/>
                <w:sz w:val="18"/>
                <w:lang w:eastAsia="en-US"/>
              </w:rPr>
              <w:t xml:space="preserve"> </w:t>
            </w:r>
            <w:proofErr w:type="spellStart"/>
            <w:r w:rsidRPr="00413DA1">
              <w:rPr>
                <w:rFonts w:ascii="Arial" w:eastAsia="MS Mincho" w:hAnsi="Arial"/>
                <w:sz w:val="18"/>
              </w:rPr>
              <w:t>NR_IIOT_URLLC_enh</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48AB3D59" w14:textId="77777777" w:rsidR="00413DA1" w:rsidRPr="00413DA1" w:rsidRDefault="00413DA1" w:rsidP="00413DA1">
            <w:pPr>
              <w:keepNext/>
              <w:keepLines/>
              <w:overflowPunct/>
              <w:autoSpaceDE/>
              <w:autoSpaceDN/>
              <w:adjustRightInd/>
              <w:spacing w:after="0"/>
              <w:textAlignment w:val="auto"/>
              <w:rPr>
                <w:rFonts w:ascii="Arial" w:eastAsia="MS Mincho" w:hAnsi="Arial"/>
                <w:sz w:val="18"/>
              </w:rPr>
            </w:pPr>
            <w:r w:rsidRPr="00413DA1">
              <w:rPr>
                <w:rFonts w:ascii="Arial" w:eastAsia="MS Mincho" w:hAnsi="Arial"/>
                <w:sz w:val="18"/>
              </w:rPr>
              <w:t>25-18</w:t>
            </w:r>
          </w:p>
        </w:tc>
        <w:tc>
          <w:tcPr>
            <w:tcW w:w="2520" w:type="dxa"/>
            <w:tcBorders>
              <w:top w:val="single" w:sz="4" w:space="0" w:color="auto"/>
              <w:left w:val="single" w:sz="4" w:space="0" w:color="auto"/>
              <w:bottom w:val="single" w:sz="4" w:space="0" w:color="auto"/>
              <w:right w:val="single" w:sz="4" w:space="0" w:color="auto"/>
            </w:tcBorders>
            <w:hideMark/>
          </w:tcPr>
          <w:p w14:paraId="6C5D60A9" w14:textId="77777777" w:rsidR="00413DA1" w:rsidRPr="00413DA1" w:rsidRDefault="00413DA1" w:rsidP="00413DA1">
            <w:pPr>
              <w:keepNext/>
              <w:keepLines/>
              <w:overflowPunct/>
              <w:autoSpaceDE/>
              <w:autoSpaceDN/>
              <w:adjustRightInd/>
              <w:spacing w:after="0"/>
              <w:textAlignment w:val="auto"/>
              <w:rPr>
                <w:rFonts w:ascii="Arial" w:hAnsi="Arial"/>
                <w:sz w:val="18"/>
              </w:rPr>
            </w:pPr>
            <w:r w:rsidRPr="00413DA1">
              <w:rPr>
                <w:rFonts w:ascii="Arial" w:hAnsi="Arial"/>
                <w:sz w:val="18"/>
              </w:rPr>
              <w:t>Parallel PUCCH and PUSCH transmission across CCs in inter-band CA</w:t>
            </w:r>
          </w:p>
        </w:tc>
        <w:tc>
          <w:tcPr>
            <w:tcW w:w="5400" w:type="dxa"/>
            <w:tcBorders>
              <w:top w:val="single" w:sz="4" w:space="0" w:color="auto"/>
              <w:left w:val="single" w:sz="4" w:space="0" w:color="auto"/>
              <w:bottom w:val="single" w:sz="4" w:space="0" w:color="auto"/>
              <w:right w:val="single" w:sz="4" w:space="0" w:color="auto"/>
            </w:tcBorders>
            <w:hideMark/>
          </w:tcPr>
          <w:p w14:paraId="555231B9" w14:textId="638EAAC5" w:rsidR="00413DA1" w:rsidRPr="00413DA1" w:rsidRDefault="00413DA1" w:rsidP="00413DA1">
            <w:pPr>
              <w:keepNext/>
              <w:keepLines/>
              <w:overflowPunct/>
              <w:autoSpaceDE/>
              <w:autoSpaceDN/>
              <w:adjustRightInd/>
              <w:spacing w:after="0" w:line="256" w:lineRule="auto"/>
              <w:textAlignment w:val="auto"/>
              <w:rPr>
                <w:rFonts w:ascii="Arial" w:hAnsi="Arial"/>
                <w:sz w:val="18"/>
              </w:rPr>
            </w:pPr>
            <w:r w:rsidRPr="00413DA1">
              <w:rPr>
                <w:rFonts w:ascii="Arial" w:hAnsi="Arial"/>
                <w:sz w:val="18"/>
              </w:rPr>
              <w:t>Support simultaneous PUCCH/PUSCH transmissions</w:t>
            </w:r>
            <w:r w:rsidRPr="00E75922">
              <w:rPr>
                <w:rFonts w:ascii="Arial" w:hAnsi="Arial"/>
                <w:color w:val="FF0000"/>
                <w:sz w:val="18"/>
              </w:rPr>
              <w:t xml:space="preserve"> of different priorities</w:t>
            </w:r>
            <w:r w:rsidRPr="00413DA1">
              <w:rPr>
                <w:rFonts w:ascii="Arial" w:hAnsi="Arial"/>
                <w:color w:val="FF0000"/>
                <w:sz w:val="18"/>
              </w:rPr>
              <w:t xml:space="preserve"> </w:t>
            </w:r>
            <w:r w:rsidRPr="00413DA1">
              <w:rPr>
                <w:rFonts w:ascii="Arial" w:hAnsi="Arial"/>
                <w:sz w:val="18"/>
              </w:rPr>
              <w:t xml:space="preserve">on different cells </w:t>
            </w:r>
            <w:r w:rsidRPr="00413DA1">
              <w:rPr>
                <w:rFonts w:ascii="Arial" w:hAnsi="Arial"/>
                <w:strike/>
                <w:color w:val="FF0000"/>
                <w:sz w:val="18"/>
                <w:shd w:val="clear" w:color="auto" w:fill="FFFF00"/>
              </w:rPr>
              <w:t>[at least]</w:t>
            </w:r>
            <w:r w:rsidRPr="00413DA1">
              <w:rPr>
                <w:rFonts w:ascii="Arial" w:hAnsi="Arial"/>
                <w:strike/>
                <w:color w:val="FF0000"/>
                <w:sz w:val="18"/>
              </w:rPr>
              <w:t xml:space="preserve"> </w:t>
            </w:r>
            <w:r w:rsidRPr="00413DA1">
              <w:rPr>
                <w:rFonts w:ascii="Arial" w:hAnsi="Arial"/>
                <w:sz w:val="18"/>
              </w:rPr>
              <w:t>for inter-band CA.</w:t>
            </w:r>
          </w:p>
        </w:tc>
      </w:tr>
    </w:tbl>
    <w:p w14:paraId="33ED11C1" w14:textId="0579013D" w:rsidR="00481193" w:rsidRPr="00413DA1" w:rsidRDefault="00413DA1" w:rsidP="00481193">
      <w:pPr>
        <w:rPr>
          <w:rFonts w:ascii="Times" w:eastAsia="Batang" w:hAnsi="Times"/>
          <w:color w:val="000000"/>
          <w:lang w:eastAsia="zh-CN"/>
        </w:rPr>
      </w:pPr>
      <w:r>
        <w:rPr>
          <w:rFonts w:ascii="Times" w:eastAsia="Batang" w:hAnsi="Times"/>
          <w:color w:val="000000"/>
          <w:lang w:eastAsia="zh-CN"/>
        </w:rPr>
        <w:t xml:space="preserve"> </w:t>
      </w:r>
    </w:p>
    <w:p w14:paraId="45406417" w14:textId="06CD2384" w:rsidR="000215B7" w:rsidRDefault="000215B7" w:rsidP="002A4143">
      <w:pPr>
        <w:rPr>
          <w:lang w:val="en-US"/>
        </w:rPr>
      </w:pPr>
    </w:p>
    <w:p w14:paraId="320495C0" w14:textId="175265EC" w:rsidR="00734639" w:rsidRPr="00E75922" w:rsidRDefault="008B6CBD" w:rsidP="00734639">
      <w:pPr>
        <w:pStyle w:val="Proposal"/>
      </w:pPr>
      <w:bookmarkStart w:id="16" w:name="_Toc101718901"/>
      <w:r w:rsidRPr="00E75922">
        <w:t xml:space="preserve">FG 25-18a </w:t>
      </w:r>
      <w:r w:rsidR="00413DA1" w:rsidRPr="00E75922">
        <w:t>component description is revised to: “</w:t>
      </w:r>
      <w:r w:rsidR="00413DA1" w:rsidRPr="00413DA1">
        <w:t>Support simultaneous PUCCH/PUSCH transmissions</w:t>
      </w:r>
      <w:r w:rsidR="00413DA1" w:rsidRPr="00E75922">
        <w:t xml:space="preserve"> of different priorities</w:t>
      </w:r>
      <w:r w:rsidR="00413DA1" w:rsidRPr="00413DA1">
        <w:t xml:space="preserve"> on different cells for inter-band CA.</w:t>
      </w:r>
      <w:r w:rsidR="00413DA1" w:rsidRPr="00E75922">
        <w:t>”</w:t>
      </w:r>
      <w:bookmarkEnd w:id="16"/>
    </w:p>
    <w:p w14:paraId="60069735" w14:textId="77777777" w:rsidR="000215B7" w:rsidRPr="00581895" w:rsidRDefault="000215B7" w:rsidP="002A4143">
      <w:pPr>
        <w:rPr>
          <w:lang w:val="en-US"/>
        </w:rPr>
      </w:pPr>
    </w:p>
    <w:p w14:paraId="36696429" w14:textId="5AC98B00" w:rsidR="00CE0424" w:rsidRDefault="003C71E9" w:rsidP="00CE0424">
      <w:pPr>
        <w:pStyle w:val="Heading2"/>
      </w:pPr>
      <w:r>
        <w:t>Propagation Delay Compensation</w:t>
      </w:r>
    </w:p>
    <w:p w14:paraId="44DD2EAD" w14:textId="0B24D554" w:rsidR="00495E89" w:rsidRDefault="008B6CBD" w:rsidP="005556A4">
      <w:r>
        <w:t xml:space="preserve">For the topic of propagation delay compensation, </w:t>
      </w:r>
      <w:r w:rsidR="00495E89">
        <w:t>the following feature groups were agreed</w:t>
      </w:r>
      <w:r w:rsidR="0006523B">
        <w:t xml:space="preserve"> as of RAN1#108e</w:t>
      </w:r>
      <w:r w:rsidR="00495E89">
        <w:t>.</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10"/>
        <w:gridCol w:w="2250"/>
        <w:gridCol w:w="5040"/>
        <w:gridCol w:w="990"/>
      </w:tblGrid>
      <w:tr w:rsidR="0006523B" w:rsidRPr="0006523B" w14:paraId="3CA2C40E" w14:textId="77777777" w:rsidTr="0006523B">
        <w:trPr>
          <w:trHeight w:val="20"/>
        </w:trPr>
        <w:tc>
          <w:tcPr>
            <w:tcW w:w="1345" w:type="dxa"/>
            <w:tcBorders>
              <w:top w:val="single" w:sz="4" w:space="0" w:color="auto"/>
              <w:left w:val="single" w:sz="4" w:space="0" w:color="auto"/>
              <w:bottom w:val="single" w:sz="4" w:space="0" w:color="auto"/>
              <w:right w:val="single" w:sz="4" w:space="0" w:color="auto"/>
            </w:tcBorders>
            <w:hideMark/>
          </w:tcPr>
          <w:p w14:paraId="3D21B6C7" w14:textId="77777777" w:rsidR="0006523B" w:rsidRPr="0006523B" w:rsidRDefault="0006523B" w:rsidP="0006523B">
            <w:pPr>
              <w:keepNext/>
              <w:keepLines/>
              <w:overflowPunct/>
              <w:autoSpaceDE/>
              <w:autoSpaceDN/>
              <w:adjustRightInd/>
              <w:spacing w:after="0"/>
              <w:textAlignment w:val="auto"/>
              <w:rPr>
                <w:rFonts w:ascii="Arial" w:eastAsia="SimSun" w:hAnsi="Arial" w:cs="Arial"/>
                <w:sz w:val="18"/>
              </w:rPr>
            </w:pPr>
            <w:r w:rsidRPr="0006523B">
              <w:rPr>
                <w:rFonts w:ascii="Arial" w:eastAsia="SimSun" w:hAnsi="Arial" w:cs="Arial"/>
                <w:sz w:val="18"/>
              </w:rPr>
              <w:t>25.</w:t>
            </w:r>
            <w:r w:rsidRPr="0006523B">
              <w:rPr>
                <w:rFonts w:ascii="Arial" w:eastAsia="SimSun" w:hAnsi="Arial" w:cs="Arial"/>
                <w:sz w:val="18"/>
                <w:lang w:eastAsia="en-US"/>
              </w:rPr>
              <w:t xml:space="preserve"> </w:t>
            </w:r>
            <w:proofErr w:type="spellStart"/>
            <w:r w:rsidRPr="0006523B">
              <w:rPr>
                <w:rFonts w:ascii="Arial" w:eastAsia="SimSun" w:hAnsi="Arial" w:cs="Arial"/>
                <w:sz w:val="18"/>
              </w:rPr>
              <w:t>NR_IIOT_URLLC_enh</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16DC8C8" w14:textId="77777777" w:rsidR="0006523B" w:rsidRPr="0006523B" w:rsidRDefault="0006523B" w:rsidP="0006523B">
            <w:pPr>
              <w:keepNext/>
              <w:keepLines/>
              <w:overflowPunct/>
              <w:autoSpaceDE/>
              <w:autoSpaceDN/>
              <w:adjustRightInd/>
              <w:spacing w:after="0"/>
              <w:textAlignment w:val="auto"/>
              <w:rPr>
                <w:rFonts w:ascii="Arial" w:eastAsia="SimSun" w:hAnsi="Arial" w:cs="Arial"/>
                <w:sz w:val="18"/>
              </w:rPr>
            </w:pPr>
            <w:r w:rsidRPr="0006523B">
              <w:rPr>
                <w:rFonts w:ascii="Arial" w:eastAsia="SimSun" w:hAnsi="Arial" w:cs="Arial"/>
                <w:sz w:val="18"/>
              </w:rPr>
              <w:t>25-19</w:t>
            </w:r>
          </w:p>
        </w:tc>
        <w:tc>
          <w:tcPr>
            <w:tcW w:w="2250" w:type="dxa"/>
            <w:tcBorders>
              <w:top w:val="single" w:sz="4" w:space="0" w:color="auto"/>
              <w:left w:val="single" w:sz="4" w:space="0" w:color="auto"/>
              <w:bottom w:val="single" w:sz="4" w:space="0" w:color="auto"/>
              <w:right w:val="single" w:sz="4" w:space="0" w:color="auto"/>
            </w:tcBorders>
            <w:hideMark/>
          </w:tcPr>
          <w:p w14:paraId="7BBC8E59" w14:textId="77777777" w:rsidR="0006523B" w:rsidRPr="0006523B" w:rsidRDefault="0006523B" w:rsidP="0006523B">
            <w:pPr>
              <w:keepNext/>
              <w:keepLines/>
              <w:overflowPunct/>
              <w:autoSpaceDE/>
              <w:autoSpaceDN/>
              <w:adjustRightInd/>
              <w:spacing w:after="0"/>
              <w:textAlignment w:val="auto"/>
              <w:rPr>
                <w:rFonts w:ascii="Arial" w:hAnsi="Arial" w:cs="Arial"/>
                <w:sz w:val="18"/>
              </w:rPr>
            </w:pPr>
            <w:r w:rsidRPr="0006523B">
              <w:rPr>
                <w:rFonts w:ascii="Arial" w:hAnsi="Arial" w:cs="Arial"/>
                <w:sz w:val="18"/>
              </w:rPr>
              <w:t>RTT-based Propagation delay compensation based on CSI-RS for tracking and SRS</w:t>
            </w:r>
          </w:p>
        </w:tc>
        <w:tc>
          <w:tcPr>
            <w:tcW w:w="5040" w:type="dxa"/>
            <w:tcBorders>
              <w:top w:val="single" w:sz="4" w:space="0" w:color="auto"/>
              <w:left w:val="single" w:sz="4" w:space="0" w:color="auto"/>
              <w:bottom w:val="single" w:sz="4" w:space="0" w:color="auto"/>
              <w:right w:val="single" w:sz="4" w:space="0" w:color="auto"/>
            </w:tcBorders>
          </w:tcPr>
          <w:p w14:paraId="0BADE98A" w14:textId="77777777" w:rsidR="0006523B" w:rsidRPr="0006523B" w:rsidRDefault="0006523B" w:rsidP="0006523B">
            <w:pPr>
              <w:keepNext/>
              <w:keepLines/>
              <w:overflowPunct/>
              <w:autoSpaceDE/>
              <w:autoSpaceDN/>
              <w:adjustRightInd/>
              <w:spacing w:after="0" w:line="254" w:lineRule="auto"/>
              <w:textAlignment w:val="auto"/>
              <w:rPr>
                <w:rFonts w:ascii="Arial" w:hAnsi="Arial" w:cs="Arial"/>
                <w:sz w:val="18"/>
              </w:rPr>
            </w:pPr>
            <w:r w:rsidRPr="0006523B">
              <w:rPr>
                <w:rFonts w:ascii="Arial" w:hAnsi="Arial" w:cs="Arial"/>
                <w:sz w:val="18"/>
              </w:rPr>
              <w:t xml:space="preserve">Support RTT-based Propagation delay compensation for time synchronization of the </w:t>
            </w:r>
            <w:proofErr w:type="spellStart"/>
            <w:r w:rsidRPr="0006523B">
              <w:rPr>
                <w:rFonts w:ascii="Arial" w:hAnsi="Arial" w:cs="Arial"/>
                <w:sz w:val="18"/>
              </w:rPr>
              <w:t>Uu</w:t>
            </w:r>
            <w:proofErr w:type="spellEnd"/>
            <w:r w:rsidRPr="0006523B">
              <w:rPr>
                <w:rFonts w:ascii="Arial" w:hAnsi="Arial" w:cs="Arial"/>
                <w:sz w:val="18"/>
              </w:rPr>
              <w:t xml:space="preserve"> interface based on CSI-RS for tracking and SRS</w:t>
            </w:r>
          </w:p>
          <w:p w14:paraId="29E51AB1" w14:textId="77777777" w:rsidR="0006523B" w:rsidRPr="0006523B" w:rsidRDefault="0006523B" w:rsidP="0006523B">
            <w:pPr>
              <w:keepNext/>
              <w:keepLines/>
              <w:overflowPunct/>
              <w:autoSpaceDE/>
              <w:autoSpaceDN/>
              <w:adjustRightInd/>
              <w:spacing w:after="0" w:line="254" w:lineRule="auto"/>
              <w:textAlignment w:val="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hideMark/>
          </w:tcPr>
          <w:p w14:paraId="553DBDAF" w14:textId="77777777" w:rsidR="0006523B" w:rsidRPr="0006523B" w:rsidRDefault="0006523B" w:rsidP="0006523B">
            <w:pPr>
              <w:keepNext/>
              <w:keepLines/>
              <w:overflowPunct/>
              <w:autoSpaceDE/>
              <w:autoSpaceDN/>
              <w:adjustRightInd/>
              <w:spacing w:after="0"/>
              <w:textAlignment w:val="auto"/>
              <w:rPr>
                <w:rFonts w:ascii="Arial" w:eastAsia="SimSun" w:hAnsi="Arial" w:cs="Arial"/>
                <w:sz w:val="18"/>
                <w:lang w:eastAsia="en-US"/>
              </w:rPr>
            </w:pPr>
            <w:r w:rsidRPr="0006523B">
              <w:rPr>
                <w:rFonts w:ascii="Arial" w:eastAsia="SimSun" w:hAnsi="Arial" w:cs="Arial"/>
                <w:sz w:val="18"/>
                <w:lang w:eastAsia="zh-CN"/>
              </w:rPr>
              <w:t>[2-51, 2-53]</w:t>
            </w:r>
          </w:p>
        </w:tc>
      </w:tr>
      <w:tr w:rsidR="0006523B" w:rsidRPr="0006523B" w14:paraId="69313308" w14:textId="77777777" w:rsidTr="0006523B">
        <w:trPr>
          <w:trHeight w:val="20"/>
        </w:trPr>
        <w:tc>
          <w:tcPr>
            <w:tcW w:w="1345" w:type="dxa"/>
            <w:tcBorders>
              <w:top w:val="single" w:sz="4" w:space="0" w:color="auto"/>
              <w:left w:val="single" w:sz="4" w:space="0" w:color="auto"/>
              <w:bottom w:val="single" w:sz="4" w:space="0" w:color="auto"/>
              <w:right w:val="single" w:sz="4" w:space="0" w:color="auto"/>
            </w:tcBorders>
            <w:hideMark/>
          </w:tcPr>
          <w:p w14:paraId="4B4832FD" w14:textId="77777777" w:rsidR="0006523B" w:rsidRPr="0006523B" w:rsidRDefault="0006523B" w:rsidP="0006523B">
            <w:pPr>
              <w:keepNext/>
              <w:keepLines/>
              <w:overflowPunct/>
              <w:autoSpaceDE/>
              <w:autoSpaceDN/>
              <w:adjustRightInd/>
              <w:spacing w:after="0"/>
              <w:textAlignment w:val="auto"/>
              <w:rPr>
                <w:rFonts w:ascii="Arial" w:eastAsia="SimSun" w:hAnsi="Arial" w:cs="Arial"/>
                <w:sz w:val="18"/>
              </w:rPr>
            </w:pPr>
            <w:r w:rsidRPr="0006523B">
              <w:rPr>
                <w:rFonts w:ascii="Arial" w:eastAsia="SimSun" w:hAnsi="Arial" w:cs="Arial"/>
                <w:sz w:val="18"/>
              </w:rPr>
              <w:t>25.</w:t>
            </w:r>
            <w:r w:rsidRPr="0006523B">
              <w:rPr>
                <w:rFonts w:ascii="Arial" w:eastAsia="SimSun" w:hAnsi="Arial" w:cs="Arial"/>
                <w:sz w:val="18"/>
                <w:lang w:eastAsia="en-US"/>
              </w:rPr>
              <w:t xml:space="preserve"> </w:t>
            </w:r>
            <w:proofErr w:type="spellStart"/>
            <w:r w:rsidRPr="0006523B">
              <w:rPr>
                <w:rFonts w:ascii="Arial" w:eastAsia="SimSun" w:hAnsi="Arial" w:cs="Arial"/>
                <w:sz w:val="18"/>
              </w:rPr>
              <w:t>NR_IIOT_URLLC_enh</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BD8EEF3" w14:textId="77777777" w:rsidR="0006523B" w:rsidRPr="0006523B" w:rsidRDefault="0006523B" w:rsidP="0006523B">
            <w:pPr>
              <w:keepNext/>
              <w:keepLines/>
              <w:overflowPunct/>
              <w:autoSpaceDE/>
              <w:autoSpaceDN/>
              <w:adjustRightInd/>
              <w:spacing w:after="0"/>
              <w:textAlignment w:val="auto"/>
              <w:rPr>
                <w:rFonts w:ascii="Arial" w:eastAsia="SimSun" w:hAnsi="Arial" w:cs="Arial"/>
                <w:sz w:val="18"/>
              </w:rPr>
            </w:pPr>
            <w:r w:rsidRPr="0006523B">
              <w:rPr>
                <w:rFonts w:ascii="Arial" w:eastAsia="SimSun" w:hAnsi="Arial" w:cs="Arial"/>
                <w:sz w:val="18"/>
              </w:rPr>
              <w:t>25-19a</w:t>
            </w:r>
          </w:p>
        </w:tc>
        <w:tc>
          <w:tcPr>
            <w:tcW w:w="2250" w:type="dxa"/>
            <w:tcBorders>
              <w:top w:val="single" w:sz="4" w:space="0" w:color="auto"/>
              <w:left w:val="single" w:sz="4" w:space="0" w:color="auto"/>
              <w:bottom w:val="single" w:sz="4" w:space="0" w:color="auto"/>
              <w:right w:val="single" w:sz="4" w:space="0" w:color="auto"/>
            </w:tcBorders>
            <w:hideMark/>
          </w:tcPr>
          <w:p w14:paraId="3C53AE5A" w14:textId="77777777" w:rsidR="0006523B" w:rsidRPr="0006523B" w:rsidRDefault="0006523B" w:rsidP="0006523B">
            <w:pPr>
              <w:keepNext/>
              <w:keepLines/>
              <w:overflowPunct/>
              <w:autoSpaceDE/>
              <w:autoSpaceDN/>
              <w:adjustRightInd/>
              <w:spacing w:after="0"/>
              <w:textAlignment w:val="auto"/>
              <w:rPr>
                <w:rFonts w:ascii="Arial" w:hAnsi="Arial" w:cs="Arial"/>
                <w:sz w:val="18"/>
              </w:rPr>
            </w:pPr>
            <w:r w:rsidRPr="0006523B">
              <w:rPr>
                <w:rFonts w:ascii="Arial" w:hAnsi="Arial" w:cs="Arial"/>
                <w:sz w:val="18"/>
              </w:rPr>
              <w:t xml:space="preserve">RTT-based Propagation delay compensation based on DL PRS and SRS </w:t>
            </w:r>
          </w:p>
        </w:tc>
        <w:tc>
          <w:tcPr>
            <w:tcW w:w="5040" w:type="dxa"/>
            <w:tcBorders>
              <w:top w:val="single" w:sz="4" w:space="0" w:color="auto"/>
              <w:left w:val="single" w:sz="4" w:space="0" w:color="auto"/>
              <w:bottom w:val="single" w:sz="4" w:space="0" w:color="auto"/>
              <w:right w:val="single" w:sz="4" w:space="0" w:color="auto"/>
            </w:tcBorders>
            <w:hideMark/>
          </w:tcPr>
          <w:p w14:paraId="715496DF" w14:textId="77777777" w:rsidR="0006523B" w:rsidRPr="0006523B" w:rsidRDefault="0006523B" w:rsidP="0006523B">
            <w:pPr>
              <w:keepNext/>
              <w:keepLines/>
              <w:overflowPunct/>
              <w:autoSpaceDE/>
              <w:autoSpaceDN/>
              <w:adjustRightInd/>
              <w:spacing w:after="0" w:line="254" w:lineRule="auto"/>
              <w:textAlignment w:val="auto"/>
              <w:rPr>
                <w:rFonts w:ascii="Arial" w:hAnsi="Arial" w:cs="Arial"/>
                <w:sz w:val="18"/>
              </w:rPr>
            </w:pPr>
            <w:r w:rsidRPr="0006523B">
              <w:rPr>
                <w:rFonts w:ascii="Arial" w:hAnsi="Arial" w:cs="Arial"/>
                <w:sz w:val="18"/>
              </w:rPr>
              <w:t xml:space="preserve">1. Support RTT-based Propagation delay compensation for time synchronization of the </w:t>
            </w:r>
            <w:proofErr w:type="spellStart"/>
            <w:r w:rsidRPr="0006523B">
              <w:rPr>
                <w:rFonts w:ascii="Arial" w:hAnsi="Arial" w:cs="Arial"/>
                <w:sz w:val="18"/>
              </w:rPr>
              <w:t>Uu</w:t>
            </w:r>
            <w:proofErr w:type="spellEnd"/>
            <w:r w:rsidRPr="0006523B">
              <w:rPr>
                <w:rFonts w:ascii="Arial" w:hAnsi="Arial" w:cs="Arial"/>
                <w:sz w:val="18"/>
              </w:rPr>
              <w:t xml:space="preserve"> interface based on DL PRS and SRS</w:t>
            </w:r>
          </w:p>
          <w:p w14:paraId="552CE398" w14:textId="77777777" w:rsidR="0006523B" w:rsidRPr="0006523B" w:rsidRDefault="0006523B" w:rsidP="0006523B">
            <w:pPr>
              <w:keepNext/>
              <w:keepLines/>
              <w:overflowPunct/>
              <w:autoSpaceDE/>
              <w:autoSpaceDN/>
              <w:adjustRightInd/>
              <w:spacing w:after="0" w:line="254" w:lineRule="auto"/>
              <w:textAlignment w:val="auto"/>
              <w:rPr>
                <w:rFonts w:ascii="Arial" w:eastAsia="MS Mincho" w:hAnsi="Arial" w:cs="Arial"/>
                <w:sz w:val="18"/>
              </w:rPr>
            </w:pPr>
            <w:r w:rsidRPr="0006523B">
              <w:rPr>
                <w:rFonts w:ascii="Arial" w:eastAsia="MS Mincho" w:hAnsi="Arial" w:cs="Arial"/>
                <w:sz w:val="18"/>
              </w:rPr>
              <w:t>2. Max number of DL PRS Resources in DL PRS Resource Set for PDC</w:t>
            </w:r>
          </w:p>
          <w:p w14:paraId="36241E5A" w14:textId="77777777" w:rsidR="0006523B" w:rsidRPr="0006523B" w:rsidRDefault="0006523B" w:rsidP="0006523B">
            <w:pPr>
              <w:keepNext/>
              <w:keepLines/>
              <w:overflowPunct/>
              <w:autoSpaceDE/>
              <w:autoSpaceDN/>
              <w:adjustRightInd/>
              <w:spacing w:after="0" w:line="254" w:lineRule="auto"/>
              <w:textAlignment w:val="auto"/>
              <w:rPr>
                <w:rFonts w:ascii="Arial" w:eastAsia="MS Mincho" w:hAnsi="Arial" w:cs="Arial"/>
                <w:sz w:val="18"/>
              </w:rPr>
            </w:pPr>
            <w:r w:rsidRPr="0006523B">
              <w:rPr>
                <w:rFonts w:ascii="Arial" w:eastAsia="MS Mincho" w:hAnsi="Arial" w:cs="Arial"/>
                <w:sz w:val="18"/>
              </w:rPr>
              <w:t>Values = {1, 2, 4, 8, 16, 32, 64}</w:t>
            </w:r>
          </w:p>
          <w:p w14:paraId="22AD3E43" w14:textId="77777777" w:rsidR="0006523B" w:rsidRPr="0006523B" w:rsidRDefault="0006523B" w:rsidP="0006523B">
            <w:pPr>
              <w:keepNext/>
              <w:keepLines/>
              <w:overflowPunct/>
              <w:autoSpaceDE/>
              <w:autoSpaceDN/>
              <w:adjustRightInd/>
              <w:spacing w:after="0" w:line="254" w:lineRule="auto"/>
              <w:textAlignment w:val="auto"/>
              <w:rPr>
                <w:rFonts w:ascii="Arial" w:eastAsia="MS Mincho" w:hAnsi="Arial" w:cs="Arial"/>
                <w:sz w:val="18"/>
              </w:rPr>
            </w:pPr>
            <w:r w:rsidRPr="0006523B">
              <w:rPr>
                <w:rFonts w:ascii="Arial" w:eastAsia="MS Mincho" w:hAnsi="Arial" w:cs="Arial"/>
                <w:sz w:val="18"/>
              </w:rPr>
              <w:t>Note: 16, 32, 64 are only applicable to FR2 bands</w:t>
            </w:r>
          </w:p>
          <w:p w14:paraId="6B3A4277" w14:textId="77777777" w:rsidR="0006523B" w:rsidRPr="0006523B" w:rsidRDefault="0006523B" w:rsidP="0006523B">
            <w:pPr>
              <w:keepNext/>
              <w:keepLines/>
              <w:overflowPunct/>
              <w:autoSpaceDE/>
              <w:autoSpaceDN/>
              <w:adjustRightInd/>
              <w:spacing w:after="0" w:line="254" w:lineRule="auto"/>
              <w:textAlignment w:val="auto"/>
              <w:rPr>
                <w:rFonts w:ascii="Arial" w:eastAsia="MS Mincho" w:hAnsi="Arial" w:cs="Arial"/>
                <w:sz w:val="18"/>
                <w:highlight w:val="yellow"/>
              </w:rPr>
            </w:pPr>
            <w:r w:rsidRPr="0006523B">
              <w:rPr>
                <w:rFonts w:ascii="Arial" w:eastAsia="MS Mincho" w:hAnsi="Arial" w:cs="Arial"/>
                <w:sz w:val="18"/>
                <w:highlight w:val="yellow"/>
              </w:rPr>
              <w:t>FFS whether to add necessary components and corresponding notes in FG 13-1 to FG 25-19a or to add FG 13-1 as a prerequisite FG for FG 25-19a</w:t>
            </w:r>
          </w:p>
          <w:p w14:paraId="3514BCED" w14:textId="77777777" w:rsidR="0006523B" w:rsidRPr="0006523B" w:rsidRDefault="0006523B" w:rsidP="0006523B">
            <w:pPr>
              <w:keepNext/>
              <w:keepLines/>
              <w:overflowPunct/>
              <w:autoSpaceDE/>
              <w:autoSpaceDN/>
              <w:adjustRightInd/>
              <w:spacing w:after="0" w:line="254" w:lineRule="auto"/>
              <w:textAlignment w:val="auto"/>
              <w:rPr>
                <w:rFonts w:ascii="Arial" w:eastAsia="MS Mincho" w:hAnsi="Arial" w:cs="Arial"/>
                <w:sz w:val="18"/>
              </w:rPr>
            </w:pPr>
            <w:r w:rsidRPr="0006523B">
              <w:rPr>
                <w:rFonts w:ascii="Arial" w:eastAsia="MS Mincho" w:hAnsi="Arial" w:cs="Arial"/>
                <w:sz w:val="18"/>
                <w:highlight w:val="yellow"/>
              </w:rPr>
              <w:t xml:space="preserve"> - With potential different value ranges from FG 13-1</w:t>
            </w:r>
          </w:p>
        </w:tc>
        <w:tc>
          <w:tcPr>
            <w:tcW w:w="990" w:type="dxa"/>
            <w:tcBorders>
              <w:top w:val="single" w:sz="4" w:space="0" w:color="auto"/>
              <w:left w:val="single" w:sz="4" w:space="0" w:color="auto"/>
              <w:bottom w:val="single" w:sz="4" w:space="0" w:color="auto"/>
              <w:right w:val="single" w:sz="4" w:space="0" w:color="auto"/>
            </w:tcBorders>
            <w:hideMark/>
          </w:tcPr>
          <w:p w14:paraId="77A0A6F0" w14:textId="77777777" w:rsidR="0006523B" w:rsidRPr="0006523B" w:rsidRDefault="0006523B" w:rsidP="0006523B">
            <w:pPr>
              <w:keepNext/>
              <w:keepLines/>
              <w:overflowPunct/>
              <w:autoSpaceDE/>
              <w:autoSpaceDN/>
              <w:adjustRightInd/>
              <w:spacing w:after="0"/>
              <w:textAlignment w:val="auto"/>
              <w:rPr>
                <w:rFonts w:ascii="Arial" w:eastAsia="SimSun" w:hAnsi="Arial" w:cs="Arial"/>
                <w:sz w:val="18"/>
                <w:lang w:eastAsia="en-US"/>
              </w:rPr>
            </w:pPr>
            <w:r w:rsidRPr="0006523B">
              <w:rPr>
                <w:rFonts w:ascii="Arial" w:eastAsia="SimSun" w:hAnsi="Arial" w:cs="Arial"/>
                <w:sz w:val="18"/>
                <w:lang w:eastAsia="zh-CN"/>
              </w:rPr>
              <w:t>[25-19, 13-1, 2-53]</w:t>
            </w:r>
          </w:p>
        </w:tc>
      </w:tr>
      <w:tr w:rsidR="0006523B" w:rsidRPr="0006523B" w14:paraId="6B31F8BE" w14:textId="77777777" w:rsidTr="0006523B">
        <w:trPr>
          <w:trHeight w:val="20"/>
        </w:trPr>
        <w:tc>
          <w:tcPr>
            <w:tcW w:w="1345" w:type="dxa"/>
            <w:tcBorders>
              <w:top w:val="single" w:sz="4" w:space="0" w:color="auto"/>
              <w:left w:val="single" w:sz="4" w:space="0" w:color="auto"/>
              <w:bottom w:val="single" w:sz="4" w:space="0" w:color="auto"/>
              <w:right w:val="single" w:sz="4" w:space="0" w:color="auto"/>
            </w:tcBorders>
            <w:hideMark/>
          </w:tcPr>
          <w:p w14:paraId="1F7F9ED6" w14:textId="77777777" w:rsidR="0006523B" w:rsidRPr="0006523B" w:rsidRDefault="0006523B" w:rsidP="0006523B">
            <w:pPr>
              <w:keepNext/>
              <w:keepLines/>
              <w:overflowPunct/>
              <w:autoSpaceDE/>
              <w:autoSpaceDN/>
              <w:adjustRightInd/>
              <w:spacing w:after="0"/>
              <w:textAlignment w:val="auto"/>
              <w:rPr>
                <w:rFonts w:ascii="Arial" w:eastAsia="SimSun" w:hAnsi="Arial" w:cs="Arial"/>
                <w:sz w:val="18"/>
              </w:rPr>
            </w:pPr>
            <w:r w:rsidRPr="0006523B">
              <w:rPr>
                <w:rFonts w:ascii="Arial" w:eastAsia="SimSun" w:hAnsi="Arial" w:cs="Arial"/>
                <w:sz w:val="18"/>
              </w:rPr>
              <w:t xml:space="preserve">25. </w:t>
            </w:r>
            <w:proofErr w:type="spellStart"/>
            <w:r w:rsidRPr="0006523B">
              <w:rPr>
                <w:rFonts w:ascii="Arial" w:eastAsia="SimSun" w:hAnsi="Arial" w:cs="Arial"/>
                <w:sz w:val="18"/>
              </w:rPr>
              <w:t>NR_IIOT_URLLC_enh</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DFD44EA" w14:textId="77777777" w:rsidR="0006523B" w:rsidRPr="0006523B" w:rsidRDefault="0006523B" w:rsidP="0006523B">
            <w:pPr>
              <w:keepNext/>
              <w:keepLines/>
              <w:overflowPunct/>
              <w:autoSpaceDE/>
              <w:autoSpaceDN/>
              <w:adjustRightInd/>
              <w:spacing w:after="0"/>
              <w:textAlignment w:val="auto"/>
              <w:rPr>
                <w:rFonts w:ascii="Arial" w:eastAsia="SimSun" w:hAnsi="Arial" w:cs="Arial"/>
                <w:sz w:val="18"/>
              </w:rPr>
            </w:pPr>
            <w:r w:rsidRPr="0006523B">
              <w:rPr>
                <w:rFonts w:ascii="Arial" w:eastAsia="SimSun" w:hAnsi="Arial" w:cs="Arial"/>
                <w:sz w:val="18"/>
              </w:rPr>
              <w:t>25-20</w:t>
            </w:r>
          </w:p>
        </w:tc>
        <w:tc>
          <w:tcPr>
            <w:tcW w:w="2250" w:type="dxa"/>
            <w:tcBorders>
              <w:top w:val="single" w:sz="4" w:space="0" w:color="auto"/>
              <w:left w:val="single" w:sz="4" w:space="0" w:color="auto"/>
              <w:bottom w:val="single" w:sz="4" w:space="0" w:color="auto"/>
              <w:right w:val="single" w:sz="4" w:space="0" w:color="auto"/>
            </w:tcBorders>
            <w:hideMark/>
          </w:tcPr>
          <w:p w14:paraId="7849C8A7" w14:textId="77777777" w:rsidR="0006523B" w:rsidRPr="0006523B" w:rsidRDefault="0006523B" w:rsidP="0006523B">
            <w:pPr>
              <w:keepNext/>
              <w:keepLines/>
              <w:overflowPunct/>
              <w:autoSpaceDE/>
              <w:autoSpaceDN/>
              <w:adjustRightInd/>
              <w:spacing w:after="0"/>
              <w:textAlignment w:val="auto"/>
              <w:rPr>
                <w:rFonts w:ascii="Arial" w:hAnsi="Arial" w:cs="Arial"/>
                <w:sz w:val="18"/>
              </w:rPr>
            </w:pPr>
            <w:r w:rsidRPr="0006523B">
              <w:rPr>
                <w:rFonts w:ascii="Arial" w:hAnsi="Arial" w:cs="Arial"/>
                <w:sz w:val="18"/>
              </w:rPr>
              <w:t xml:space="preserve">Propagation delay compensation based on legacy TA procedure  </w:t>
            </w:r>
          </w:p>
        </w:tc>
        <w:tc>
          <w:tcPr>
            <w:tcW w:w="5040" w:type="dxa"/>
            <w:tcBorders>
              <w:top w:val="single" w:sz="4" w:space="0" w:color="auto"/>
              <w:left w:val="single" w:sz="4" w:space="0" w:color="auto"/>
              <w:bottom w:val="single" w:sz="4" w:space="0" w:color="auto"/>
              <w:right w:val="single" w:sz="4" w:space="0" w:color="auto"/>
            </w:tcBorders>
            <w:hideMark/>
          </w:tcPr>
          <w:p w14:paraId="41A3B46A" w14:textId="77777777" w:rsidR="0006523B" w:rsidRPr="0006523B" w:rsidRDefault="0006523B" w:rsidP="0006523B">
            <w:pPr>
              <w:keepNext/>
              <w:keepLines/>
              <w:overflowPunct/>
              <w:autoSpaceDE/>
              <w:autoSpaceDN/>
              <w:adjustRightInd/>
              <w:spacing w:after="0" w:line="254" w:lineRule="auto"/>
              <w:textAlignment w:val="auto"/>
              <w:rPr>
                <w:rFonts w:ascii="Arial" w:hAnsi="Arial" w:cs="Arial"/>
                <w:sz w:val="18"/>
              </w:rPr>
            </w:pPr>
            <w:r w:rsidRPr="0006523B">
              <w:rPr>
                <w:rFonts w:ascii="Arial" w:hAnsi="Arial" w:cs="Arial"/>
                <w:sz w:val="18"/>
              </w:rPr>
              <w:t xml:space="preserve">Support propagation delay compensation based on legacy TA procedure  </w:t>
            </w:r>
          </w:p>
        </w:tc>
        <w:tc>
          <w:tcPr>
            <w:tcW w:w="990" w:type="dxa"/>
            <w:tcBorders>
              <w:top w:val="single" w:sz="4" w:space="0" w:color="auto"/>
              <w:left w:val="single" w:sz="4" w:space="0" w:color="auto"/>
              <w:bottom w:val="single" w:sz="4" w:space="0" w:color="auto"/>
              <w:right w:val="single" w:sz="4" w:space="0" w:color="auto"/>
            </w:tcBorders>
            <w:hideMark/>
          </w:tcPr>
          <w:p w14:paraId="404D2930" w14:textId="77777777" w:rsidR="0006523B" w:rsidRPr="0006523B" w:rsidRDefault="0006523B" w:rsidP="0006523B">
            <w:pPr>
              <w:keepNext/>
              <w:keepLines/>
              <w:overflowPunct/>
              <w:autoSpaceDE/>
              <w:autoSpaceDN/>
              <w:adjustRightInd/>
              <w:spacing w:after="0"/>
              <w:textAlignment w:val="auto"/>
              <w:rPr>
                <w:rFonts w:ascii="Arial" w:eastAsia="MS Mincho" w:hAnsi="Arial" w:cs="Arial"/>
                <w:sz w:val="18"/>
              </w:rPr>
            </w:pPr>
            <w:r w:rsidRPr="0006523B">
              <w:rPr>
                <w:rFonts w:ascii="Arial" w:eastAsia="MS Mincho" w:hAnsi="Arial" w:cs="Arial"/>
                <w:sz w:val="18"/>
              </w:rPr>
              <w:t>FFS</w:t>
            </w:r>
          </w:p>
        </w:tc>
      </w:tr>
    </w:tbl>
    <w:p w14:paraId="1F18A06E" w14:textId="0ECF562F" w:rsidR="0006523B" w:rsidRDefault="0006523B" w:rsidP="00EC0BC5">
      <w:pPr>
        <w:pStyle w:val="BodyText"/>
      </w:pPr>
    </w:p>
    <w:p w14:paraId="432A01B8" w14:textId="77777777" w:rsidR="0006523B" w:rsidRDefault="0006523B" w:rsidP="00EC0BC5">
      <w:pPr>
        <w:pStyle w:val="BodyText"/>
      </w:pPr>
    </w:p>
    <w:p w14:paraId="2CDAE955" w14:textId="75A077FC" w:rsidR="00495E89" w:rsidRDefault="00495E89" w:rsidP="005556A4">
      <w:r>
        <w:t xml:space="preserve">In our view, 25-19 and 25-19a are parallel, independent features. </w:t>
      </w:r>
      <w:r w:rsidR="00616373">
        <w:t>FG 25-19a can be supported without supporting 25-19, especially for a UE already with PRS processing capability for positioning purpose. Thus, 25-19 should be deleted from the prerequisite list of 25-19a.</w:t>
      </w:r>
    </w:p>
    <w:p w14:paraId="2827EDAB" w14:textId="77777777" w:rsidR="00616373" w:rsidRDefault="00616373" w:rsidP="005556A4"/>
    <w:p w14:paraId="1D1D094B" w14:textId="07E2F4A7" w:rsidR="00495E89" w:rsidRDefault="003344E5" w:rsidP="00616373">
      <w:pPr>
        <w:pStyle w:val="Proposal"/>
      </w:pPr>
      <w:bookmarkStart w:id="17" w:name="_Toc101718902"/>
      <w:r>
        <w:t>FG</w:t>
      </w:r>
      <w:r w:rsidR="00616373">
        <w:t xml:space="preserve"> 25-19 </w:t>
      </w:r>
      <w:r>
        <w:t>is not included as a</w:t>
      </w:r>
      <w:r w:rsidR="00616373">
        <w:t xml:space="preserve"> prerequisite of </w:t>
      </w:r>
      <w:r w:rsidR="009E3669">
        <w:t xml:space="preserve">FG </w:t>
      </w:r>
      <w:r w:rsidR="00616373">
        <w:t>25-19a.</w:t>
      </w:r>
      <w:bookmarkEnd w:id="17"/>
    </w:p>
    <w:p w14:paraId="67EA017D" w14:textId="45FD41AB" w:rsidR="00495E89" w:rsidRDefault="00495E89" w:rsidP="00EC0BC5">
      <w:pPr>
        <w:pStyle w:val="BodyText"/>
      </w:pPr>
    </w:p>
    <w:p w14:paraId="1FCD1936" w14:textId="319FE638" w:rsidR="0006523B" w:rsidRDefault="0006523B" w:rsidP="005556A4">
      <w:r>
        <w:lastRenderedPageBreak/>
        <w:t xml:space="preserve">Regarding </w:t>
      </w:r>
      <w:r w:rsidR="003344E5">
        <w:t xml:space="preserve">the question of </w:t>
      </w:r>
      <w:r>
        <w:t>13-1 as prerequisite for 25-19a, it is preferable that 13-1 is not a perquisite, since a UE supporting 25-19a for the purpose of time synchronization do not need to support 13-1 which is for positioning. PRS reception for positioning is much more demanding than PRS reception for propagation delay compensation (PDC). For example, for PDC purpose, the PRS is within the active BWP</w:t>
      </w:r>
      <w:r w:rsidR="00A71FF1">
        <w:t>,</w:t>
      </w:r>
      <w:r>
        <w:t xml:space="preserve"> and use the same </w:t>
      </w:r>
      <w:proofErr w:type="spellStart"/>
      <w:r>
        <w:t>pointA</w:t>
      </w:r>
      <w:proofErr w:type="spellEnd"/>
      <w:r>
        <w:t xml:space="preserve">, SCS, </w:t>
      </w:r>
      <w:r w:rsidR="003344E5">
        <w:t xml:space="preserve">cyclic prefix as the </w:t>
      </w:r>
      <w:proofErr w:type="spellStart"/>
      <w:r w:rsidR="003344E5">
        <w:t>PCell</w:t>
      </w:r>
      <w:proofErr w:type="spellEnd"/>
      <w:r w:rsidR="003344E5">
        <w:t xml:space="preserve">. Imposing 13-1 as a perquisite of 25-19a will unnecessarily bind the time synchronization </w:t>
      </w:r>
      <w:r w:rsidR="00A71FF1">
        <w:t xml:space="preserve">use case </w:t>
      </w:r>
      <w:r w:rsidR="003344E5">
        <w:t>to the positioning</w:t>
      </w:r>
      <w:r w:rsidR="00A71FF1">
        <w:t xml:space="preserve"> use case</w:t>
      </w:r>
      <w:r w:rsidR="00A727BD">
        <w:t>. This</w:t>
      </w:r>
      <w:r w:rsidR="00A727BD" w:rsidRPr="00A727BD">
        <w:t xml:space="preserve"> </w:t>
      </w:r>
      <w:r w:rsidR="00A727BD">
        <w:t xml:space="preserve">unnecessarily removes the freedom of </w:t>
      </w:r>
      <w:r w:rsidR="00A71FF1">
        <w:t>UE implementing</w:t>
      </w:r>
      <w:r w:rsidR="003344E5">
        <w:t xml:space="preserve"> 25-19a as an independent feature for time synchronization </w:t>
      </w:r>
      <w:r w:rsidR="00A71FF1">
        <w:t>without having positioning capability</w:t>
      </w:r>
      <w:r w:rsidR="003344E5">
        <w:t>.</w:t>
      </w:r>
    </w:p>
    <w:p w14:paraId="46320DB2" w14:textId="77777777" w:rsidR="003344E5" w:rsidRDefault="003344E5" w:rsidP="00EC0BC5">
      <w:pPr>
        <w:pStyle w:val="BodyText"/>
      </w:pPr>
    </w:p>
    <w:p w14:paraId="25465BD8" w14:textId="0BA063D4" w:rsidR="003344E5" w:rsidRDefault="003344E5" w:rsidP="003344E5">
      <w:pPr>
        <w:pStyle w:val="Proposal"/>
      </w:pPr>
      <w:bookmarkStart w:id="18" w:name="_Toc101718903"/>
      <w:r>
        <w:t>FG 13-1 is not included as a prerequisite of FG 25-19a.</w:t>
      </w:r>
      <w:bookmarkEnd w:id="18"/>
    </w:p>
    <w:p w14:paraId="65308ABA" w14:textId="6B20B424" w:rsidR="003344E5" w:rsidRDefault="003344E5" w:rsidP="00EC0BC5">
      <w:pPr>
        <w:pStyle w:val="BodyText"/>
      </w:pPr>
    </w:p>
    <w:p w14:paraId="60ABB067" w14:textId="03C10B39" w:rsidR="003344E5" w:rsidRDefault="003344E5" w:rsidP="005556A4">
      <w:r>
        <w:t xml:space="preserve">With the understanding that FG 13-1 is not a prerequisite </w:t>
      </w:r>
      <w:r w:rsidR="0041000F">
        <w:t xml:space="preserve">of FG 25-19a, </w:t>
      </w:r>
      <w:r w:rsidR="005861F6">
        <w:t>a question arises if any components of FG 13-1 should be copied over to FG 25-19a.</w:t>
      </w:r>
      <w:r w:rsidR="009E2068">
        <w:t xml:space="preserve"> Our view is, no component of 13-1 is needed for 25-19a.</w:t>
      </w:r>
    </w:p>
    <w:p w14:paraId="126CC0CE" w14:textId="250C8D2A" w:rsidR="009E2068" w:rsidRPr="009E2068" w:rsidRDefault="009E2068" w:rsidP="00A71FF1">
      <w:pPr>
        <w:pStyle w:val="BodyText"/>
        <w:numPr>
          <w:ilvl w:val="0"/>
          <w:numId w:val="18"/>
        </w:numPr>
        <w:rPr>
          <w:rFonts w:eastAsia="Malgun Gothic"/>
          <w:lang w:eastAsia="ko-KR"/>
        </w:rPr>
      </w:pPr>
      <w:r w:rsidRPr="009E2068">
        <w:rPr>
          <w:rFonts w:eastAsia="Malgun Gothic"/>
          <w:lang w:eastAsia="ko-KR"/>
        </w:rPr>
        <w:t>For component 1</w:t>
      </w:r>
      <w:r w:rsidR="005A4D00">
        <w:rPr>
          <w:rFonts w:eastAsia="Malgun Gothic"/>
          <w:lang w:eastAsia="ko-KR"/>
        </w:rPr>
        <w:t xml:space="preserve"> of 13-1</w:t>
      </w:r>
      <w:r w:rsidRPr="009E2068">
        <w:rPr>
          <w:rFonts w:eastAsia="Malgun Gothic"/>
          <w:lang w:eastAsia="ko-KR"/>
        </w:rPr>
        <w:t>, the maximum BW</w:t>
      </w:r>
      <w:r w:rsidR="00A71FF1" w:rsidRPr="00A71FF1">
        <w:rPr>
          <w:rFonts w:eastAsia="Malgun Gothic"/>
          <w:lang w:eastAsia="ko-KR"/>
        </w:rPr>
        <w:t xml:space="preserve"> of PRS</w:t>
      </w:r>
      <w:r w:rsidRPr="009E2068">
        <w:rPr>
          <w:rFonts w:eastAsia="Malgun Gothic"/>
          <w:lang w:eastAsia="ko-KR"/>
        </w:rPr>
        <w:t xml:space="preserve"> should be the DL BW that UE already reports (FG 2-1). </w:t>
      </w:r>
      <w:proofErr w:type="gramStart"/>
      <w:r w:rsidRPr="009E2068">
        <w:rPr>
          <w:rFonts w:eastAsia="Malgun Gothic"/>
          <w:lang w:eastAsia="ko-KR"/>
        </w:rPr>
        <w:t>Thus</w:t>
      </w:r>
      <w:proofErr w:type="gramEnd"/>
      <w:r w:rsidRPr="009E2068">
        <w:rPr>
          <w:rFonts w:eastAsia="Malgun Gothic"/>
          <w:lang w:eastAsia="ko-KR"/>
        </w:rPr>
        <w:t xml:space="preserve"> no need to report again</w:t>
      </w:r>
      <w:r w:rsidR="00A71FF1" w:rsidRPr="00A71FF1">
        <w:rPr>
          <w:rFonts w:eastAsia="Malgun Gothic"/>
          <w:lang w:eastAsia="ko-KR"/>
        </w:rPr>
        <w:t xml:space="preserve"> in FG 25-19a</w:t>
      </w:r>
      <w:r w:rsidRPr="009E2068">
        <w:rPr>
          <w:rFonts w:eastAsia="Malgun Gothic"/>
          <w:lang w:eastAsia="ko-KR"/>
        </w:rPr>
        <w:t xml:space="preserve">. </w:t>
      </w:r>
    </w:p>
    <w:p w14:paraId="712D49C4" w14:textId="77777777" w:rsidR="009E2068" w:rsidRPr="009E2068" w:rsidRDefault="009E2068" w:rsidP="009E2068">
      <w:pPr>
        <w:pStyle w:val="ListParagraph"/>
        <w:snapToGrid w:val="0"/>
        <w:ind w:left="1134"/>
        <w:rPr>
          <w:rFonts w:eastAsia="Batang" w:cs="Times"/>
          <w:b/>
          <w:bCs/>
          <w:sz w:val="20"/>
          <w:lang w:eastAsia="zh-CN"/>
        </w:rPr>
      </w:pPr>
      <w:r w:rsidRPr="009E2068">
        <w:rPr>
          <w:rFonts w:cs="Times"/>
          <w:b/>
          <w:bCs/>
          <w:highlight w:val="green"/>
          <w:lang w:eastAsia="zh-CN"/>
        </w:rPr>
        <w:t>Agreement</w:t>
      </w:r>
      <w:r w:rsidRPr="009E2068">
        <w:rPr>
          <w:rFonts w:cs="Times"/>
          <w:b/>
          <w:bCs/>
          <w:lang w:eastAsia="zh-CN"/>
        </w:rPr>
        <w:t xml:space="preserve"> </w:t>
      </w:r>
    </w:p>
    <w:p w14:paraId="7173E77A" w14:textId="48FBDCA4" w:rsidR="009E2068" w:rsidRDefault="009E2068" w:rsidP="009E2068">
      <w:pPr>
        <w:pStyle w:val="ListParagraph"/>
        <w:snapToGrid w:val="0"/>
        <w:ind w:left="1134"/>
        <w:rPr>
          <w:rFonts w:cs="Times"/>
          <w:lang w:eastAsia="zh-CN"/>
        </w:rPr>
      </w:pPr>
      <w:r w:rsidRPr="009E2068">
        <w:rPr>
          <w:rFonts w:cs="Times"/>
          <w:lang w:eastAsia="zh-CN"/>
        </w:rPr>
        <w:t>For PDC purpose, the UE is not expected to measure DL PRS outside the active BWP.</w:t>
      </w:r>
    </w:p>
    <w:p w14:paraId="014C675C" w14:textId="77777777" w:rsidR="00A71FF1" w:rsidRPr="009E2068" w:rsidRDefault="00A71FF1" w:rsidP="009E2068">
      <w:pPr>
        <w:pStyle w:val="ListParagraph"/>
        <w:snapToGrid w:val="0"/>
        <w:ind w:left="1134"/>
        <w:rPr>
          <w:rFonts w:cs="Times"/>
          <w:lang w:eastAsia="zh-CN"/>
        </w:rPr>
      </w:pPr>
    </w:p>
    <w:p w14:paraId="1FD83DA2" w14:textId="2287D98E" w:rsidR="009E2068" w:rsidRPr="009E2068" w:rsidRDefault="009E2068" w:rsidP="009E2068">
      <w:pPr>
        <w:pStyle w:val="BodyText"/>
        <w:numPr>
          <w:ilvl w:val="0"/>
          <w:numId w:val="18"/>
        </w:numPr>
      </w:pPr>
      <w:r>
        <w:rPr>
          <w:rFonts w:eastAsia="Malgun Gothic"/>
          <w:lang w:eastAsia="ko-KR"/>
        </w:rPr>
        <w:t>For component 2-</w:t>
      </w:r>
      <w:r w:rsidR="005A4D00">
        <w:rPr>
          <w:rFonts w:eastAsia="Malgun Gothic"/>
          <w:lang w:eastAsia="ko-KR"/>
        </w:rPr>
        <w:t>3 of 13-1</w:t>
      </w:r>
      <w:r>
        <w:rPr>
          <w:rFonts w:eastAsia="Malgun Gothic"/>
          <w:lang w:eastAsia="ko-KR"/>
        </w:rPr>
        <w:t xml:space="preserve">, processing capability (N, T) corresponds to (K, P) in 38.214. But (K, P) are defined for positioning purpose, e.g., reference signal time difference (RSTD) between two PRS which are sent by two </w:t>
      </w:r>
      <w:proofErr w:type="spellStart"/>
      <w:r>
        <w:rPr>
          <w:rFonts w:eastAsia="Malgun Gothic"/>
          <w:lang w:eastAsia="ko-KR"/>
        </w:rPr>
        <w:t>gNBs</w:t>
      </w:r>
      <w:proofErr w:type="spellEnd"/>
      <w:r>
        <w:rPr>
          <w:rFonts w:eastAsia="Malgun Gothic"/>
          <w:lang w:eastAsia="ko-KR"/>
        </w:rPr>
        <w:t xml:space="preserve">. </w:t>
      </w:r>
      <w:proofErr w:type="gramStart"/>
      <w:r>
        <w:rPr>
          <w:rFonts w:eastAsia="Malgun Gothic"/>
          <w:lang w:eastAsia="ko-KR"/>
        </w:rPr>
        <w:t>Indeed</w:t>
      </w:r>
      <w:proofErr w:type="gramEnd"/>
      <w:r>
        <w:rPr>
          <w:rFonts w:eastAsia="Malgun Gothic"/>
          <w:lang w:eastAsia="ko-KR"/>
        </w:rPr>
        <w:t xml:space="preserve"> none of the yellow-highlighted concepts in the excerpt of 38.214 below exist for PDC PRS. </w:t>
      </w:r>
    </w:p>
    <w:p w14:paraId="05B6FD14" w14:textId="3B45843B" w:rsidR="009E2068" w:rsidRDefault="009E2068" w:rsidP="009E2068">
      <w:pPr>
        <w:pStyle w:val="BodyText"/>
        <w:ind w:left="1134"/>
      </w:pPr>
      <w:r>
        <w:rPr>
          <w:rFonts w:eastAsia="Malgun Gothic"/>
          <w:lang w:eastAsia="ko-KR"/>
        </w:rPr>
        <w:t>TS 38.214 section 5.1.6.5:</w:t>
      </w:r>
    </w:p>
    <w:p w14:paraId="5DE94407" w14:textId="6FF842B4" w:rsidR="005861F6" w:rsidRDefault="009E2068" w:rsidP="009E2068">
      <w:pPr>
        <w:pStyle w:val="BodyText"/>
        <w:jc w:val="center"/>
      </w:pPr>
      <w:r w:rsidRPr="005C787F">
        <w:rPr>
          <w:rFonts w:eastAsia="Malgun Gothic"/>
          <w:noProof/>
          <w:lang w:val="en-US"/>
        </w:rPr>
        <w:drawing>
          <wp:inline distT="0" distB="0" distL="0" distR="0" wp14:anchorId="2223DE2A" wp14:editId="089B6B44">
            <wp:extent cx="4697428" cy="2824699"/>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3108" cy="2828114"/>
                    </a:xfrm>
                    <a:prstGeom prst="rect">
                      <a:avLst/>
                    </a:prstGeom>
                    <a:noFill/>
                    <a:ln>
                      <a:noFill/>
                    </a:ln>
                  </pic:spPr>
                </pic:pic>
              </a:graphicData>
            </a:graphic>
          </wp:inline>
        </w:drawing>
      </w:r>
    </w:p>
    <w:p w14:paraId="2FD72591" w14:textId="19E62DFF" w:rsidR="005861F6" w:rsidRDefault="005A4D00" w:rsidP="005A4D00">
      <w:pPr>
        <w:pStyle w:val="BodyText"/>
        <w:numPr>
          <w:ilvl w:val="0"/>
          <w:numId w:val="18"/>
        </w:numPr>
      </w:pPr>
      <w:r>
        <w:rPr>
          <w:rFonts w:eastAsia="Malgun Gothic"/>
          <w:lang w:eastAsia="ko-KR"/>
        </w:rPr>
        <w:t xml:space="preserve">For component 4 of 13-1, the newly added </w:t>
      </w:r>
      <w:r w:rsidRPr="003B0AF6">
        <w:rPr>
          <w:szCs w:val="24"/>
          <w:lang w:val="en-US"/>
        </w:rPr>
        <w:t xml:space="preserve">component </w:t>
      </w:r>
      <w:r>
        <w:rPr>
          <w:szCs w:val="24"/>
          <w:lang w:val="en-US"/>
        </w:rPr>
        <w:t xml:space="preserve">2 provides the </w:t>
      </w:r>
      <w:r w:rsidRPr="003B0AF6">
        <w:rPr>
          <w:szCs w:val="24"/>
          <w:lang w:val="en-US"/>
        </w:rPr>
        <w:t>maximum number of PRS resources</w:t>
      </w:r>
      <w:r>
        <w:rPr>
          <w:rFonts w:eastAsia="Malgun Gothic"/>
          <w:lang w:eastAsia="ko-KR"/>
        </w:rPr>
        <w:t xml:space="preserve"> already. Furthermore, component 4 of 13-1 is intended to cover PRS resources from multiple resource sets. However, for PDC, there is only a single PRS resource set.</w:t>
      </w:r>
    </w:p>
    <w:p w14:paraId="64A5D10A" w14:textId="77777777" w:rsidR="005A4D00" w:rsidRDefault="005A4D00" w:rsidP="005556A4"/>
    <w:p w14:paraId="7FE5DB84" w14:textId="2E7F4C7B" w:rsidR="009E2068" w:rsidRDefault="009E2068" w:rsidP="005556A4">
      <w:r>
        <w:t>Thus, the existing components 1 and 2 are adequate for 25-19a. The components of 13-1 are either unnecessary or inappropriate for 25-19a.</w:t>
      </w:r>
    </w:p>
    <w:p w14:paraId="0AA67FE2" w14:textId="77777777" w:rsidR="009E2068" w:rsidRDefault="009E2068" w:rsidP="00EC0BC5">
      <w:pPr>
        <w:pStyle w:val="BodyText"/>
      </w:pPr>
    </w:p>
    <w:p w14:paraId="0AC56206" w14:textId="786AF047" w:rsidR="009E2068" w:rsidRDefault="005861F6" w:rsidP="009E2068">
      <w:pPr>
        <w:pStyle w:val="Proposal"/>
      </w:pPr>
      <w:r>
        <w:t xml:space="preserve"> </w:t>
      </w:r>
      <w:bookmarkStart w:id="19" w:name="_Toc101718904"/>
      <w:r w:rsidR="009E2068">
        <w:t>Components of FG 13-1 are not included in FG 25-19a.</w:t>
      </w:r>
      <w:bookmarkEnd w:id="19"/>
    </w:p>
    <w:p w14:paraId="2BF3B5DD" w14:textId="7F7E21FF" w:rsidR="0006523B" w:rsidRDefault="0006523B" w:rsidP="00EC0BC5">
      <w:pPr>
        <w:pStyle w:val="BodyText"/>
      </w:pPr>
    </w:p>
    <w:p w14:paraId="6CB521EC" w14:textId="1AF4A293" w:rsidR="009E2068" w:rsidRDefault="009E2068" w:rsidP="009E2068">
      <w:pPr>
        <w:pStyle w:val="Heading1"/>
      </w:pPr>
      <w:r>
        <w:lastRenderedPageBreak/>
        <w:t xml:space="preserve">Clarification on Type of </w:t>
      </w:r>
      <w:r w:rsidR="00D23148">
        <w:t xml:space="preserve">an </w:t>
      </w:r>
      <w:r>
        <w:t>FG</w:t>
      </w:r>
      <w:r w:rsidR="00D23148">
        <w:t xml:space="preserve"> and Type of Its Prerequisite</w:t>
      </w:r>
    </w:p>
    <w:p w14:paraId="24EB29F3" w14:textId="37696FF6" w:rsidR="009E2068" w:rsidRDefault="00D23148" w:rsidP="005556A4">
      <w:r>
        <w:t>A recurring general question has been the relationship of the</w:t>
      </w:r>
      <w:r w:rsidR="005A4D00">
        <w:t xml:space="preserve"> Type of </w:t>
      </w:r>
      <w:proofErr w:type="gramStart"/>
      <w:r w:rsidR="005A4D00">
        <w:t>a</w:t>
      </w:r>
      <w:proofErr w:type="gramEnd"/>
      <w:r>
        <w:t xml:space="preserve"> FG and Type of </w:t>
      </w:r>
      <w:r w:rsidR="003C4DEC">
        <w:t>i</w:t>
      </w:r>
      <w:r>
        <w:t xml:space="preserve">ts Prerequisite. Specifically, some companies argue that if the prerequisite has a narrower Type </w:t>
      </w:r>
      <w:r w:rsidR="003C4DEC">
        <w:t xml:space="preserve">(e.g., “FSPC”), then the FG </w:t>
      </w:r>
      <w:r w:rsidR="00C7247C">
        <w:t>cannot have a broader Type (e.g., “BC”)</w:t>
      </w:r>
      <w:r w:rsidR="005A4D00">
        <w:t>. As a reference,</w:t>
      </w:r>
      <w:r w:rsidR="005D3A29">
        <w:t xml:space="preserve"> the hierarchy of the Type are described in TS 38.306 as shown below.</w:t>
      </w:r>
      <w:r w:rsidR="00C7247C">
        <w:t xml:space="preserve"> </w:t>
      </w:r>
    </w:p>
    <w:p w14:paraId="4C3D6351" w14:textId="21274B4C" w:rsidR="00D23148" w:rsidRDefault="00D23148" w:rsidP="00D23148"/>
    <w:tbl>
      <w:tblPr>
        <w:tblStyle w:val="TableGrid"/>
        <w:tblW w:w="0" w:type="auto"/>
        <w:tblLook w:val="04A0" w:firstRow="1" w:lastRow="0" w:firstColumn="1" w:lastColumn="0" w:noHBand="0" w:noVBand="1"/>
      </w:tblPr>
      <w:tblGrid>
        <w:gridCol w:w="9350"/>
      </w:tblGrid>
      <w:tr w:rsidR="00D23148" w14:paraId="3536388A" w14:textId="77777777" w:rsidTr="00E04000">
        <w:tc>
          <w:tcPr>
            <w:tcW w:w="9350" w:type="dxa"/>
          </w:tcPr>
          <w:p w14:paraId="2B533F30" w14:textId="77777777" w:rsidR="00B052AD" w:rsidRDefault="00B052AD" w:rsidP="00E04000">
            <w:r>
              <w:t>TS 38.306 Section 4.2.1:</w:t>
            </w:r>
          </w:p>
          <w:p w14:paraId="6A17FC48" w14:textId="07CF0082" w:rsidR="00D23148" w:rsidRPr="00F5569E" w:rsidRDefault="00D23148" w:rsidP="00E04000">
            <w:pPr>
              <w:rPr>
                <w:rFonts w:eastAsia="Times New Roman"/>
              </w:rPr>
            </w:pPr>
            <w:r w:rsidRPr="00D23148">
              <w:rPr>
                <w:rFonts w:eastAsia="Times New Roman"/>
              </w:rPr>
              <w:t xml:space="preserve">UE capability parameters have hierarchical structure. In the table of UE capability parameter in subsequent clauses, "Per" indicates the level the associated parameter is included. </w:t>
            </w:r>
            <w:r w:rsidRPr="00D23148">
              <w:rPr>
                <w:rFonts w:eastAsia="Times New Roman"/>
                <w:color w:val="FF0000"/>
              </w:rPr>
              <w:t>"UE"</w:t>
            </w:r>
            <w:r w:rsidRPr="00D23148">
              <w:rPr>
                <w:rFonts w:eastAsia="Times New Roman"/>
              </w:rPr>
              <w:t xml:space="preserve"> in the column indicates the associated parameter is signalled per UE, </w:t>
            </w:r>
            <w:r w:rsidRPr="00D23148">
              <w:rPr>
                <w:rFonts w:eastAsia="Times New Roman"/>
                <w:color w:val="FF0000"/>
              </w:rPr>
              <w:t>"Band"</w:t>
            </w:r>
            <w:r w:rsidRPr="00D23148">
              <w:rPr>
                <w:rFonts w:eastAsia="Times New Roman"/>
              </w:rPr>
              <w:t xml:space="preserve"> indicates it is signalled per band, </w:t>
            </w:r>
            <w:r w:rsidRPr="00D23148">
              <w:rPr>
                <w:rFonts w:eastAsia="Times New Roman"/>
                <w:color w:val="FF0000"/>
              </w:rPr>
              <w:t xml:space="preserve">"BC" </w:t>
            </w:r>
            <w:r w:rsidRPr="00D23148">
              <w:rPr>
                <w:rFonts w:eastAsia="Times New Roman"/>
              </w:rPr>
              <w:t xml:space="preserve">indicates it is signalled per band combination, </w:t>
            </w:r>
            <w:r w:rsidRPr="00D23148">
              <w:rPr>
                <w:rFonts w:eastAsia="Times New Roman"/>
                <w:color w:val="FF0000"/>
              </w:rPr>
              <w:t>"FS"</w:t>
            </w:r>
            <w:r w:rsidRPr="00D23148">
              <w:rPr>
                <w:rFonts w:eastAsia="Times New Roman"/>
              </w:rPr>
              <w:t xml:space="preserve"> indicates it is signalled per feature set (per band per band combination), </w:t>
            </w:r>
            <w:r w:rsidRPr="00D23148">
              <w:rPr>
                <w:rFonts w:eastAsia="Times New Roman"/>
                <w:color w:val="FF0000"/>
              </w:rPr>
              <w:t>"FSPC"</w:t>
            </w:r>
            <w:r w:rsidRPr="00D23148">
              <w:rPr>
                <w:rFonts w:eastAsia="Times New Roman"/>
              </w:rPr>
              <w:t xml:space="preserve"> indicates it is signalled per feature set per component carrier (per CC per band per band combination), and "FD" in the column indicates to refer the associated field description.</w:t>
            </w:r>
          </w:p>
        </w:tc>
      </w:tr>
    </w:tbl>
    <w:p w14:paraId="07BF2D66" w14:textId="77777777" w:rsidR="00D23148" w:rsidRDefault="00D23148" w:rsidP="00EC0BC5">
      <w:pPr>
        <w:pStyle w:val="BodyText"/>
      </w:pPr>
    </w:p>
    <w:p w14:paraId="1CEEA3FB" w14:textId="0543395D" w:rsidR="00D23148" w:rsidRDefault="005D3A29" w:rsidP="005556A4">
      <w:r>
        <w:t>However, checking of existing feature groups indicate that Type of</w:t>
      </w:r>
      <w:r w:rsidR="005A4D00">
        <w:t xml:space="preserve"> </w:t>
      </w:r>
      <w:proofErr w:type="gramStart"/>
      <w:r w:rsidR="005A4D00">
        <w:t>a</w:t>
      </w:r>
      <w:proofErr w:type="gramEnd"/>
      <w:r>
        <w:t xml:space="preserve"> FG can be broader than its prerequisite. The following are some examples:</w:t>
      </w:r>
    </w:p>
    <w:p w14:paraId="0D549639" w14:textId="77777777" w:rsidR="005D3A29" w:rsidRPr="00CA5C39" w:rsidRDefault="005D3A29" w:rsidP="005D3A29">
      <w:pPr>
        <w:pStyle w:val="ListParagraph"/>
        <w:numPr>
          <w:ilvl w:val="0"/>
          <w:numId w:val="21"/>
        </w:numPr>
        <w:overflowPunct/>
        <w:autoSpaceDE/>
        <w:autoSpaceDN/>
        <w:adjustRightInd/>
        <w:spacing w:after="180"/>
        <w:contextualSpacing/>
        <w:textAlignment w:val="auto"/>
      </w:pPr>
      <w:r>
        <w:rPr>
          <w:szCs w:val="21"/>
          <w:lang w:val="en-US" w:eastAsia="zh-CN"/>
        </w:rPr>
        <w:t>(</w:t>
      </w:r>
      <w:r w:rsidRPr="005E0C82">
        <w:rPr>
          <w:szCs w:val="21"/>
          <w:lang w:val="en-US" w:eastAsia="zh-CN"/>
        </w:rPr>
        <w:t>NR_L1enh_URLLC</w:t>
      </w:r>
      <w:r>
        <w:rPr>
          <w:szCs w:val="21"/>
          <w:lang w:val="en-US" w:eastAsia="zh-CN"/>
        </w:rPr>
        <w:t xml:space="preserve">) FG </w:t>
      </w:r>
      <w:r w:rsidRPr="00CA5C39">
        <w:rPr>
          <w:szCs w:val="21"/>
          <w:lang w:val="en-US" w:eastAsia="zh-CN"/>
        </w:rPr>
        <w:t>11-4b is per UE while its prerequisite FG 11-4 is per FS</w:t>
      </w:r>
      <w:r w:rsidRPr="00CA5C39">
        <w:rPr>
          <w:rFonts w:hint="eastAsia"/>
          <w:szCs w:val="21"/>
          <w:lang w:val="en-US" w:eastAsia="zh-CN"/>
        </w:rPr>
        <w:t>.</w:t>
      </w:r>
    </w:p>
    <w:p w14:paraId="0113CB66" w14:textId="77777777" w:rsidR="005D3A29" w:rsidRPr="00CA5C39" w:rsidRDefault="005D3A29" w:rsidP="005D3A29">
      <w:pPr>
        <w:pStyle w:val="ListParagraph"/>
        <w:numPr>
          <w:ilvl w:val="0"/>
          <w:numId w:val="21"/>
        </w:numPr>
        <w:overflowPunct/>
        <w:autoSpaceDE/>
        <w:autoSpaceDN/>
        <w:adjustRightInd/>
        <w:spacing w:after="180"/>
        <w:contextualSpacing/>
        <w:textAlignment w:val="auto"/>
      </w:pPr>
      <w:r>
        <w:rPr>
          <w:szCs w:val="21"/>
          <w:lang w:eastAsia="zh-CN"/>
        </w:rPr>
        <w:t xml:space="preserve">(NR </w:t>
      </w:r>
      <w:proofErr w:type="spellStart"/>
      <w:r>
        <w:rPr>
          <w:szCs w:val="21"/>
          <w:lang w:eastAsia="zh-CN"/>
        </w:rPr>
        <w:t>IIoT</w:t>
      </w:r>
      <w:proofErr w:type="spellEnd"/>
      <w:r>
        <w:rPr>
          <w:szCs w:val="21"/>
          <w:lang w:eastAsia="zh-CN"/>
        </w:rPr>
        <w:t>) FG 12-1a is per UE while it</w:t>
      </w:r>
      <w:r w:rsidRPr="00CA5C39">
        <w:rPr>
          <w:szCs w:val="21"/>
          <w:lang w:val="en-US" w:eastAsia="zh-CN"/>
        </w:rPr>
        <w:t>s prerequisite FG 11-</w:t>
      </w:r>
      <w:r>
        <w:rPr>
          <w:szCs w:val="21"/>
          <w:lang w:val="en-US" w:eastAsia="zh-CN"/>
        </w:rPr>
        <w:t>1</w:t>
      </w:r>
      <w:r w:rsidRPr="00CA5C39">
        <w:rPr>
          <w:szCs w:val="21"/>
          <w:lang w:val="en-US" w:eastAsia="zh-CN"/>
        </w:rPr>
        <w:t xml:space="preserve"> is per FS</w:t>
      </w:r>
      <w:r w:rsidRPr="00CA5C39">
        <w:rPr>
          <w:rFonts w:hint="eastAsia"/>
          <w:szCs w:val="21"/>
          <w:lang w:val="en-US" w:eastAsia="zh-CN"/>
        </w:rPr>
        <w:t>.</w:t>
      </w:r>
    </w:p>
    <w:p w14:paraId="27070E48" w14:textId="77777777" w:rsidR="005D3A29" w:rsidRPr="00E31391" w:rsidRDefault="005D3A29" w:rsidP="005D3A29">
      <w:pPr>
        <w:pStyle w:val="ListParagraph"/>
        <w:numPr>
          <w:ilvl w:val="0"/>
          <w:numId w:val="21"/>
        </w:numPr>
        <w:overflowPunct/>
        <w:autoSpaceDE/>
        <w:autoSpaceDN/>
        <w:adjustRightInd/>
        <w:spacing w:after="180"/>
        <w:contextualSpacing/>
        <w:textAlignment w:val="auto"/>
      </w:pPr>
      <w:r>
        <w:t>(</w:t>
      </w:r>
      <w:proofErr w:type="spellStart"/>
      <w:r w:rsidRPr="005E0C82">
        <w:t>NR_eMIMO</w:t>
      </w:r>
      <w:proofErr w:type="spellEnd"/>
      <w:r>
        <w:t xml:space="preserve">) FG 16-2a-4, 16-2a-4a, 16-2a-8 are per UE while the </w:t>
      </w:r>
      <w:r w:rsidRPr="00CA5C39">
        <w:rPr>
          <w:szCs w:val="21"/>
          <w:lang w:val="en-US" w:eastAsia="zh-CN"/>
        </w:rPr>
        <w:t>prerequisite FG 1</w:t>
      </w:r>
      <w:r>
        <w:rPr>
          <w:szCs w:val="21"/>
          <w:lang w:val="en-US" w:eastAsia="zh-CN"/>
        </w:rPr>
        <w:t>6</w:t>
      </w:r>
      <w:r w:rsidRPr="00CA5C39">
        <w:rPr>
          <w:szCs w:val="21"/>
          <w:lang w:val="en-US" w:eastAsia="zh-CN"/>
        </w:rPr>
        <w:t>-</w:t>
      </w:r>
      <w:r>
        <w:rPr>
          <w:szCs w:val="21"/>
          <w:lang w:val="en-US" w:eastAsia="zh-CN"/>
        </w:rPr>
        <w:t>2a</w:t>
      </w:r>
      <w:r w:rsidRPr="00CA5C39">
        <w:rPr>
          <w:szCs w:val="21"/>
          <w:lang w:val="en-US" w:eastAsia="zh-CN"/>
        </w:rPr>
        <w:t xml:space="preserve"> is per </w:t>
      </w:r>
      <w:r>
        <w:rPr>
          <w:szCs w:val="21"/>
          <w:lang w:val="en-US" w:eastAsia="zh-CN"/>
        </w:rPr>
        <w:t>FSBC</w:t>
      </w:r>
      <w:r w:rsidRPr="00CA5C39">
        <w:rPr>
          <w:rFonts w:hint="eastAsia"/>
          <w:szCs w:val="21"/>
          <w:lang w:val="en-US" w:eastAsia="zh-CN"/>
        </w:rPr>
        <w:t>.</w:t>
      </w:r>
    </w:p>
    <w:p w14:paraId="7FD22558" w14:textId="1CA9C200" w:rsidR="005D3A29" w:rsidRDefault="005D3A29" w:rsidP="00EC0BC5">
      <w:pPr>
        <w:pStyle w:val="BodyText"/>
        <w:rPr>
          <w:lang w:val="x-none"/>
        </w:rPr>
      </w:pPr>
    </w:p>
    <w:p w14:paraId="646810C9" w14:textId="797F2062" w:rsidR="005D3A29" w:rsidRPr="00CE0424" w:rsidRDefault="005D3A29" w:rsidP="005D3A29">
      <w:pPr>
        <w:pStyle w:val="Observation"/>
      </w:pPr>
      <w:bookmarkStart w:id="20" w:name="_Toc347823812"/>
      <w:bookmarkStart w:id="21" w:name="_Toc347823993"/>
      <w:bookmarkStart w:id="22" w:name="_Toc347824244"/>
      <w:bookmarkStart w:id="23" w:name="_Toc529275835"/>
      <w:r>
        <w:t xml:space="preserve">Numerous examples in a variety of topics show that Type of an FG </w:t>
      </w:r>
      <w:r w:rsidR="00DE0DF4">
        <w:t>can be broader than the</w:t>
      </w:r>
      <w:r>
        <w:t xml:space="preserve"> Type of Its Prerequisite.</w:t>
      </w:r>
      <w:bookmarkEnd w:id="20"/>
      <w:bookmarkEnd w:id="21"/>
      <w:bookmarkEnd w:id="22"/>
      <w:bookmarkEnd w:id="23"/>
    </w:p>
    <w:p w14:paraId="378440A9" w14:textId="77777777" w:rsidR="005D3A29" w:rsidRPr="005D3A29" w:rsidRDefault="005D3A29" w:rsidP="00EC0BC5">
      <w:pPr>
        <w:pStyle w:val="BodyText"/>
      </w:pPr>
    </w:p>
    <w:p w14:paraId="55DE18EA" w14:textId="1757C899" w:rsidR="00ED18A9" w:rsidRDefault="00DE0DF4" w:rsidP="005556A4">
      <w:r>
        <w:t xml:space="preserve">Then a question is, what should be understanding </w:t>
      </w:r>
      <w:r w:rsidR="00ED18A9">
        <w:t xml:space="preserve">if Type </w:t>
      </w:r>
      <w:r>
        <w:t>of FG</w:t>
      </w:r>
      <w:r w:rsidR="00ED18A9">
        <w:t>-x</w:t>
      </w:r>
      <w:r>
        <w:t xml:space="preserve"> is broader than </w:t>
      </w:r>
      <w:r w:rsidR="00ED18A9">
        <w:t xml:space="preserve">Type of </w:t>
      </w:r>
      <w:r>
        <w:t>its prerequisite</w:t>
      </w:r>
      <w:r w:rsidR="00ED18A9">
        <w:t xml:space="preserve"> FG-y</w:t>
      </w:r>
      <w:r>
        <w:t xml:space="preserve">? Our understanding </w:t>
      </w:r>
      <w:r w:rsidR="00ED18A9">
        <w:t>is, for such FG-x (e.g., Type = “UE”) and FG-y (e.g., Type</w:t>
      </w:r>
      <w:proofErr w:type="gramStart"/>
      <w:r w:rsidR="00ED18A9">
        <w:t>=</w:t>
      </w:r>
      <w:r w:rsidR="005A4D00">
        <w:t>“</w:t>
      </w:r>
      <w:proofErr w:type="gramEnd"/>
      <w:r w:rsidR="00ED18A9">
        <w:t xml:space="preserve">BC”), for a given scenario (e.g., a given set of band combinations) where UE supports FG-y, then </w:t>
      </w:r>
      <w:r w:rsidR="00B052AD">
        <w:t>{</w:t>
      </w:r>
      <w:r w:rsidR="00ED18A9">
        <w:t>FG-x</w:t>
      </w:r>
      <w:r w:rsidR="00B052AD">
        <w:t>, FG-y}</w:t>
      </w:r>
      <w:r w:rsidR="00ED18A9">
        <w:t xml:space="preserve"> </w:t>
      </w:r>
      <w:r w:rsidR="00B052AD">
        <w:t>are</w:t>
      </w:r>
      <w:r w:rsidR="00ED18A9">
        <w:t xml:space="preserve"> supported for the given scenario</w:t>
      </w:r>
      <w:r w:rsidR="00B052AD">
        <w:t>, if UE reports FG-x for the broader scenario</w:t>
      </w:r>
      <w:r w:rsidR="00ED18A9">
        <w:t>.</w:t>
      </w:r>
      <w:r w:rsidR="00371129">
        <w:t xml:space="preserve"> This is shown with an example in </w:t>
      </w:r>
      <w:r w:rsidR="00371129">
        <w:fldChar w:fldCharType="begin"/>
      </w:r>
      <w:r w:rsidR="00371129">
        <w:instrText xml:space="preserve"> REF _Ref101715740 </w:instrText>
      </w:r>
      <w:r w:rsidR="005556A4">
        <w:instrText xml:space="preserve"> \* MERGEFORMAT </w:instrText>
      </w:r>
      <w:r w:rsidR="00371129">
        <w:fldChar w:fldCharType="separate"/>
      </w:r>
      <w:r w:rsidR="00371129">
        <w:t xml:space="preserve">Table </w:t>
      </w:r>
      <w:r w:rsidR="00371129">
        <w:rPr>
          <w:noProof/>
        </w:rPr>
        <w:t>3</w:t>
      </w:r>
      <w:r w:rsidR="00371129">
        <w:fldChar w:fldCharType="end"/>
      </w:r>
      <w:r w:rsidR="00371129">
        <w:t>.</w:t>
      </w:r>
    </w:p>
    <w:p w14:paraId="78BBD7B7" w14:textId="68A35A73" w:rsidR="00E3763F" w:rsidRDefault="00371129" w:rsidP="00371129">
      <w:pPr>
        <w:pStyle w:val="Caption"/>
        <w:jc w:val="center"/>
      </w:pPr>
      <w:bookmarkStart w:id="24" w:name="_Ref101715740"/>
      <w:r>
        <w:t xml:space="preserve">Table </w:t>
      </w:r>
      <w:fldSimple w:instr=" SEQ Table \* ARABIC ">
        <w:r>
          <w:rPr>
            <w:noProof/>
          </w:rPr>
          <w:t>3</w:t>
        </w:r>
      </w:fldSimple>
      <w:bookmarkEnd w:id="24"/>
      <w:r>
        <w:t>. Example of FG-x has a broader Type than Type of its perquisite FG-y</w:t>
      </w:r>
    </w:p>
    <w:tbl>
      <w:tblPr>
        <w:tblStyle w:val="TableGrid"/>
        <w:tblW w:w="0" w:type="auto"/>
        <w:tblLook w:val="04A0" w:firstRow="1" w:lastRow="0" w:firstColumn="1" w:lastColumn="0" w:noHBand="0" w:noVBand="1"/>
      </w:tblPr>
      <w:tblGrid>
        <w:gridCol w:w="985"/>
        <w:gridCol w:w="1890"/>
        <w:gridCol w:w="2340"/>
        <w:gridCol w:w="4406"/>
      </w:tblGrid>
      <w:tr w:rsidR="00E3763F" w:rsidRPr="00E3763F" w14:paraId="5FBE8937" w14:textId="77777777" w:rsidTr="00E3763F">
        <w:tc>
          <w:tcPr>
            <w:tcW w:w="985" w:type="dxa"/>
          </w:tcPr>
          <w:p w14:paraId="5447DE4E" w14:textId="77777777" w:rsidR="00E3763F" w:rsidRPr="00E3763F" w:rsidRDefault="00E3763F" w:rsidP="00EC0BC5">
            <w:pPr>
              <w:pStyle w:val="BodyText"/>
              <w:rPr>
                <w:b/>
                <w:bCs/>
                <w:sz w:val="20"/>
                <w:szCs w:val="20"/>
              </w:rPr>
            </w:pPr>
          </w:p>
        </w:tc>
        <w:tc>
          <w:tcPr>
            <w:tcW w:w="1890" w:type="dxa"/>
          </w:tcPr>
          <w:p w14:paraId="64284993" w14:textId="74A40885" w:rsidR="00E3763F" w:rsidRPr="00E3763F" w:rsidRDefault="00E3763F" w:rsidP="00EC0BC5">
            <w:pPr>
              <w:pStyle w:val="BodyText"/>
              <w:rPr>
                <w:b/>
                <w:bCs/>
                <w:sz w:val="20"/>
                <w:szCs w:val="20"/>
              </w:rPr>
            </w:pPr>
            <w:r w:rsidRPr="00E3763F">
              <w:rPr>
                <w:b/>
                <w:bCs/>
                <w:sz w:val="20"/>
                <w:szCs w:val="20"/>
              </w:rPr>
              <w:t>Type of FG-x = Per UE</w:t>
            </w:r>
          </w:p>
        </w:tc>
        <w:tc>
          <w:tcPr>
            <w:tcW w:w="2340" w:type="dxa"/>
          </w:tcPr>
          <w:p w14:paraId="789B742D" w14:textId="207BABC5" w:rsidR="00E3763F" w:rsidRPr="00E3763F" w:rsidRDefault="00E3763F" w:rsidP="00EC0BC5">
            <w:pPr>
              <w:pStyle w:val="BodyText"/>
              <w:rPr>
                <w:b/>
                <w:bCs/>
                <w:sz w:val="20"/>
                <w:szCs w:val="20"/>
              </w:rPr>
            </w:pPr>
            <w:r w:rsidRPr="00E3763F">
              <w:rPr>
                <w:b/>
                <w:bCs/>
                <w:sz w:val="20"/>
                <w:szCs w:val="20"/>
              </w:rPr>
              <w:t>Type of prerequisite FG-y = Per BC</w:t>
            </w:r>
          </w:p>
        </w:tc>
        <w:tc>
          <w:tcPr>
            <w:tcW w:w="4406" w:type="dxa"/>
          </w:tcPr>
          <w:p w14:paraId="7EC4D223" w14:textId="471AEBFB" w:rsidR="00E3763F" w:rsidRPr="00E3763F" w:rsidRDefault="00371129" w:rsidP="00EC0BC5">
            <w:pPr>
              <w:pStyle w:val="BodyText"/>
              <w:rPr>
                <w:b/>
                <w:bCs/>
                <w:sz w:val="20"/>
                <w:szCs w:val="20"/>
              </w:rPr>
            </w:pPr>
            <w:r>
              <w:rPr>
                <w:b/>
                <w:bCs/>
                <w:sz w:val="20"/>
                <w:szCs w:val="20"/>
              </w:rPr>
              <w:t>Interpretation</w:t>
            </w:r>
          </w:p>
        </w:tc>
      </w:tr>
      <w:tr w:rsidR="00E3763F" w:rsidRPr="00E3763F" w14:paraId="50412D8F" w14:textId="77777777" w:rsidTr="00E3763F">
        <w:tc>
          <w:tcPr>
            <w:tcW w:w="985" w:type="dxa"/>
          </w:tcPr>
          <w:p w14:paraId="2BA2F09A" w14:textId="66A32567" w:rsidR="00E3763F" w:rsidRPr="00E3763F" w:rsidRDefault="00E3763F" w:rsidP="00EC0BC5">
            <w:pPr>
              <w:pStyle w:val="BodyText"/>
              <w:rPr>
                <w:sz w:val="20"/>
                <w:szCs w:val="20"/>
              </w:rPr>
            </w:pPr>
            <w:r w:rsidRPr="00E3763F">
              <w:rPr>
                <w:sz w:val="20"/>
                <w:szCs w:val="20"/>
              </w:rPr>
              <w:t>Case 1</w:t>
            </w:r>
          </w:p>
        </w:tc>
        <w:tc>
          <w:tcPr>
            <w:tcW w:w="1890" w:type="dxa"/>
          </w:tcPr>
          <w:p w14:paraId="24F513D2" w14:textId="6D10B4E7" w:rsidR="00E3763F" w:rsidRPr="00E3763F" w:rsidRDefault="00E3763F" w:rsidP="00EC0BC5">
            <w:pPr>
              <w:pStyle w:val="BodyText"/>
              <w:rPr>
                <w:sz w:val="20"/>
                <w:szCs w:val="20"/>
              </w:rPr>
            </w:pPr>
            <w:r w:rsidRPr="00E3763F">
              <w:rPr>
                <w:sz w:val="20"/>
                <w:szCs w:val="20"/>
              </w:rPr>
              <w:t xml:space="preserve">UE supports FG-x </w:t>
            </w:r>
          </w:p>
        </w:tc>
        <w:tc>
          <w:tcPr>
            <w:tcW w:w="2340" w:type="dxa"/>
          </w:tcPr>
          <w:p w14:paraId="69062AE4" w14:textId="396393DE" w:rsidR="00E3763F" w:rsidRPr="00E3763F" w:rsidRDefault="00E3763F" w:rsidP="00EC0BC5">
            <w:pPr>
              <w:pStyle w:val="BodyText"/>
              <w:rPr>
                <w:sz w:val="20"/>
                <w:szCs w:val="20"/>
              </w:rPr>
            </w:pPr>
            <w:r w:rsidRPr="00E3763F">
              <w:rPr>
                <w:sz w:val="20"/>
                <w:szCs w:val="20"/>
              </w:rPr>
              <w:t>UE supports FG-y on (BC#1, BC#2)</w:t>
            </w:r>
          </w:p>
        </w:tc>
        <w:tc>
          <w:tcPr>
            <w:tcW w:w="4406" w:type="dxa"/>
          </w:tcPr>
          <w:p w14:paraId="2CA8513C" w14:textId="3A077207" w:rsidR="00E3763F" w:rsidRPr="00E3763F" w:rsidRDefault="00E3763F" w:rsidP="00EC0BC5">
            <w:pPr>
              <w:pStyle w:val="BodyText"/>
              <w:rPr>
                <w:sz w:val="20"/>
                <w:szCs w:val="20"/>
              </w:rPr>
            </w:pPr>
            <w:r w:rsidRPr="00E3763F">
              <w:rPr>
                <w:sz w:val="20"/>
                <w:szCs w:val="20"/>
              </w:rPr>
              <w:t>UE supports {FG-x, FG-y} on (BC#1, BC#2)</w:t>
            </w:r>
          </w:p>
        </w:tc>
      </w:tr>
      <w:tr w:rsidR="005A4D00" w:rsidRPr="005A4D00" w14:paraId="5A581093" w14:textId="77777777" w:rsidTr="00E3763F">
        <w:tc>
          <w:tcPr>
            <w:tcW w:w="985" w:type="dxa"/>
          </w:tcPr>
          <w:p w14:paraId="10695AEB" w14:textId="536731AC" w:rsidR="005A4D00" w:rsidRPr="005A4D00" w:rsidRDefault="005A4D00" w:rsidP="00EC0BC5">
            <w:pPr>
              <w:pStyle w:val="BodyText"/>
              <w:rPr>
                <w:sz w:val="20"/>
                <w:szCs w:val="20"/>
              </w:rPr>
            </w:pPr>
            <w:r w:rsidRPr="005A4D00">
              <w:rPr>
                <w:sz w:val="20"/>
                <w:szCs w:val="20"/>
              </w:rPr>
              <w:t>Case 2</w:t>
            </w:r>
          </w:p>
        </w:tc>
        <w:tc>
          <w:tcPr>
            <w:tcW w:w="1890" w:type="dxa"/>
          </w:tcPr>
          <w:p w14:paraId="34D195BB" w14:textId="1BBC4258" w:rsidR="005A4D00" w:rsidRPr="005A4D00" w:rsidRDefault="005A4D00" w:rsidP="00EC0BC5">
            <w:pPr>
              <w:pStyle w:val="BodyText"/>
              <w:rPr>
                <w:sz w:val="20"/>
                <w:szCs w:val="20"/>
              </w:rPr>
            </w:pPr>
            <w:r w:rsidRPr="00E3763F">
              <w:rPr>
                <w:sz w:val="20"/>
                <w:szCs w:val="20"/>
              </w:rPr>
              <w:t xml:space="preserve">UE </w:t>
            </w:r>
            <w:r>
              <w:rPr>
                <w:sz w:val="20"/>
                <w:szCs w:val="20"/>
              </w:rPr>
              <w:t xml:space="preserve">does </w:t>
            </w:r>
            <w:r w:rsidRPr="00760BB9">
              <w:rPr>
                <w:sz w:val="20"/>
                <w:szCs w:val="20"/>
                <w:u w:val="single"/>
              </w:rPr>
              <w:t xml:space="preserve">not </w:t>
            </w:r>
            <w:r w:rsidRPr="00E3763F">
              <w:rPr>
                <w:sz w:val="20"/>
                <w:szCs w:val="20"/>
              </w:rPr>
              <w:t>support FG-x</w:t>
            </w:r>
          </w:p>
        </w:tc>
        <w:tc>
          <w:tcPr>
            <w:tcW w:w="2340" w:type="dxa"/>
          </w:tcPr>
          <w:p w14:paraId="6769EECA" w14:textId="1254C18D" w:rsidR="005A4D00" w:rsidRPr="005A4D00" w:rsidRDefault="005A4D00" w:rsidP="00EC0BC5">
            <w:pPr>
              <w:pStyle w:val="BodyText"/>
              <w:rPr>
                <w:sz w:val="20"/>
                <w:szCs w:val="20"/>
              </w:rPr>
            </w:pPr>
            <w:r w:rsidRPr="00E3763F">
              <w:rPr>
                <w:sz w:val="20"/>
                <w:szCs w:val="20"/>
              </w:rPr>
              <w:t>UE supports FG-y on (BC#1, BC#2)</w:t>
            </w:r>
          </w:p>
        </w:tc>
        <w:tc>
          <w:tcPr>
            <w:tcW w:w="4406" w:type="dxa"/>
          </w:tcPr>
          <w:p w14:paraId="65FA9CA3" w14:textId="77D5A2B5" w:rsidR="005A4D00" w:rsidRPr="005A4D00" w:rsidRDefault="005A4D00" w:rsidP="00EC0BC5">
            <w:pPr>
              <w:pStyle w:val="BodyText"/>
              <w:rPr>
                <w:sz w:val="20"/>
                <w:szCs w:val="20"/>
              </w:rPr>
            </w:pPr>
            <w:r w:rsidRPr="00E3763F">
              <w:rPr>
                <w:sz w:val="20"/>
                <w:szCs w:val="20"/>
              </w:rPr>
              <w:t xml:space="preserve">UE </w:t>
            </w:r>
            <w:r>
              <w:rPr>
                <w:sz w:val="20"/>
                <w:szCs w:val="20"/>
              </w:rPr>
              <w:t xml:space="preserve">does not </w:t>
            </w:r>
            <w:r w:rsidRPr="00E3763F">
              <w:rPr>
                <w:sz w:val="20"/>
                <w:szCs w:val="20"/>
              </w:rPr>
              <w:t>support FG-x</w:t>
            </w:r>
            <w:r>
              <w:rPr>
                <w:sz w:val="20"/>
                <w:szCs w:val="20"/>
              </w:rPr>
              <w:t xml:space="preserve"> on any band combination</w:t>
            </w:r>
          </w:p>
        </w:tc>
      </w:tr>
    </w:tbl>
    <w:p w14:paraId="788762F9" w14:textId="77777777" w:rsidR="00E3763F" w:rsidRDefault="00E3763F" w:rsidP="00EC0BC5">
      <w:pPr>
        <w:pStyle w:val="BodyText"/>
      </w:pPr>
    </w:p>
    <w:p w14:paraId="19605838" w14:textId="67841A2E" w:rsidR="00371129" w:rsidRDefault="00ED18A9" w:rsidP="005556A4">
      <w:r>
        <w:t>In contrast, if FG-x and FG-y have the same Type (e.g.</w:t>
      </w:r>
      <w:proofErr w:type="gramStart"/>
      <w:r>
        <w:t>,  Type</w:t>
      </w:r>
      <w:proofErr w:type="gramEnd"/>
      <w:r>
        <w:t xml:space="preserve">=”BC”), then for a given scenario (e.g., </w:t>
      </w:r>
      <w:r w:rsidR="00E3763F">
        <w:t>the</w:t>
      </w:r>
      <w:r>
        <w:t xml:space="preserve"> set of band combinations</w:t>
      </w:r>
      <w:r w:rsidR="00B052AD">
        <w:t xml:space="preserve"> (BC#1, BC#2)</w:t>
      </w:r>
      <w:r>
        <w:t xml:space="preserve">) where UE supports FG-y, </w:t>
      </w:r>
      <w:r w:rsidR="00B052AD">
        <w:t>the UE may or may not support {FG-x, FG-y} for the given scenario (e.g., (BC#1, BC#2)).</w:t>
      </w:r>
      <w:r w:rsidR="00371129">
        <w:t xml:space="preserve"> </w:t>
      </w:r>
      <w:r w:rsidR="00B052AD">
        <w:t>The UE support {FG-x, FG-y} for (BC#1, BC#2)</w:t>
      </w:r>
      <w:r w:rsidR="00371129">
        <w:t xml:space="preserve"> only</w:t>
      </w:r>
      <w:r w:rsidR="00B052AD">
        <w:t xml:space="preserve"> if UE also reports FG-x for (BC#1, BC#2).</w:t>
      </w:r>
      <w:r w:rsidR="00371129">
        <w:t xml:space="preserve"> One example is shown in </w:t>
      </w:r>
      <w:r w:rsidR="00371129">
        <w:fldChar w:fldCharType="begin"/>
      </w:r>
      <w:r w:rsidR="00371129">
        <w:instrText xml:space="preserve"> REF _Ref101715737 </w:instrText>
      </w:r>
      <w:r w:rsidR="005556A4">
        <w:instrText xml:space="preserve"> \* MERGEFORMAT </w:instrText>
      </w:r>
      <w:r w:rsidR="00371129">
        <w:fldChar w:fldCharType="separate"/>
      </w:r>
      <w:r w:rsidR="00371129">
        <w:t xml:space="preserve">Table </w:t>
      </w:r>
      <w:r w:rsidR="00371129">
        <w:rPr>
          <w:noProof/>
        </w:rPr>
        <w:t>4</w:t>
      </w:r>
      <w:r w:rsidR="00371129">
        <w:fldChar w:fldCharType="end"/>
      </w:r>
      <w:r w:rsidR="00371129">
        <w:t>.</w:t>
      </w:r>
    </w:p>
    <w:p w14:paraId="4880C119" w14:textId="74B390BF" w:rsidR="00371129" w:rsidRDefault="00371129" w:rsidP="00371129">
      <w:pPr>
        <w:pStyle w:val="Caption"/>
        <w:jc w:val="center"/>
      </w:pPr>
      <w:bookmarkStart w:id="25" w:name="_Ref101715737"/>
      <w:r>
        <w:t xml:space="preserve">Table </w:t>
      </w:r>
      <w:r w:rsidR="003A08B7">
        <w:fldChar w:fldCharType="begin"/>
      </w:r>
      <w:r w:rsidR="003A08B7">
        <w:instrText xml:space="preserve"> SEQ Table \* ARABIC </w:instrText>
      </w:r>
      <w:r w:rsidR="003A08B7">
        <w:fldChar w:fldCharType="separate"/>
      </w:r>
      <w:r>
        <w:rPr>
          <w:noProof/>
        </w:rPr>
        <w:t>4</w:t>
      </w:r>
      <w:r w:rsidR="003A08B7">
        <w:rPr>
          <w:noProof/>
        </w:rPr>
        <w:fldChar w:fldCharType="end"/>
      </w:r>
      <w:bookmarkEnd w:id="25"/>
      <w:r>
        <w:t>. Example of FG-x has a same Type as the Type of its perquisite FG-y</w:t>
      </w:r>
    </w:p>
    <w:tbl>
      <w:tblPr>
        <w:tblStyle w:val="TableGrid"/>
        <w:tblW w:w="0" w:type="auto"/>
        <w:tblLook w:val="04A0" w:firstRow="1" w:lastRow="0" w:firstColumn="1" w:lastColumn="0" w:noHBand="0" w:noVBand="1"/>
      </w:tblPr>
      <w:tblGrid>
        <w:gridCol w:w="985"/>
        <w:gridCol w:w="1890"/>
        <w:gridCol w:w="2340"/>
        <w:gridCol w:w="4406"/>
      </w:tblGrid>
      <w:tr w:rsidR="00E3763F" w:rsidRPr="00E3763F" w14:paraId="0E27990F" w14:textId="77777777" w:rsidTr="00E3763F">
        <w:tc>
          <w:tcPr>
            <w:tcW w:w="985" w:type="dxa"/>
          </w:tcPr>
          <w:p w14:paraId="24717FB5" w14:textId="77777777" w:rsidR="00E3763F" w:rsidRPr="00E3763F" w:rsidRDefault="00E3763F" w:rsidP="00E04000">
            <w:pPr>
              <w:pStyle w:val="BodyText"/>
              <w:rPr>
                <w:b/>
                <w:bCs/>
                <w:sz w:val="20"/>
                <w:szCs w:val="20"/>
              </w:rPr>
            </w:pPr>
          </w:p>
        </w:tc>
        <w:tc>
          <w:tcPr>
            <w:tcW w:w="1890" w:type="dxa"/>
          </w:tcPr>
          <w:p w14:paraId="313CFE79" w14:textId="5C3E6340" w:rsidR="00E3763F" w:rsidRPr="00E3763F" w:rsidRDefault="00E3763F" w:rsidP="00E04000">
            <w:pPr>
              <w:pStyle w:val="BodyText"/>
              <w:rPr>
                <w:b/>
                <w:bCs/>
                <w:sz w:val="20"/>
                <w:szCs w:val="20"/>
              </w:rPr>
            </w:pPr>
            <w:r w:rsidRPr="00E3763F">
              <w:rPr>
                <w:b/>
                <w:bCs/>
                <w:sz w:val="20"/>
                <w:szCs w:val="20"/>
              </w:rPr>
              <w:t>Type of FG-x = Per BC</w:t>
            </w:r>
          </w:p>
        </w:tc>
        <w:tc>
          <w:tcPr>
            <w:tcW w:w="2340" w:type="dxa"/>
          </w:tcPr>
          <w:p w14:paraId="0BFB38E2" w14:textId="77777777" w:rsidR="00E3763F" w:rsidRPr="00E3763F" w:rsidRDefault="00E3763F" w:rsidP="00E04000">
            <w:pPr>
              <w:pStyle w:val="BodyText"/>
              <w:rPr>
                <w:b/>
                <w:bCs/>
                <w:sz w:val="20"/>
                <w:szCs w:val="20"/>
              </w:rPr>
            </w:pPr>
            <w:r w:rsidRPr="00E3763F">
              <w:rPr>
                <w:b/>
                <w:bCs/>
                <w:sz w:val="20"/>
                <w:szCs w:val="20"/>
              </w:rPr>
              <w:t>Type of prerequisite FG-y = Per BC</w:t>
            </w:r>
          </w:p>
        </w:tc>
        <w:tc>
          <w:tcPr>
            <w:tcW w:w="4406" w:type="dxa"/>
          </w:tcPr>
          <w:p w14:paraId="3FC1F02C" w14:textId="05DC251A" w:rsidR="00E3763F" w:rsidRPr="00E3763F" w:rsidRDefault="00371129" w:rsidP="00E04000">
            <w:pPr>
              <w:pStyle w:val="BodyText"/>
              <w:rPr>
                <w:b/>
                <w:bCs/>
                <w:sz w:val="20"/>
                <w:szCs w:val="20"/>
              </w:rPr>
            </w:pPr>
            <w:r>
              <w:rPr>
                <w:b/>
                <w:bCs/>
                <w:sz w:val="20"/>
                <w:szCs w:val="20"/>
              </w:rPr>
              <w:t>Interpretation</w:t>
            </w:r>
          </w:p>
        </w:tc>
      </w:tr>
      <w:tr w:rsidR="00E3763F" w:rsidRPr="00E3763F" w14:paraId="0C91254B" w14:textId="77777777" w:rsidTr="00E3763F">
        <w:tc>
          <w:tcPr>
            <w:tcW w:w="985" w:type="dxa"/>
          </w:tcPr>
          <w:p w14:paraId="20279C75" w14:textId="77777777" w:rsidR="00E3763F" w:rsidRPr="00E3763F" w:rsidRDefault="00E3763F" w:rsidP="00E04000">
            <w:pPr>
              <w:pStyle w:val="BodyText"/>
              <w:rPr>
                <w:sz w:val="20"/>
                <w:szCs w:val="20"/>
              </w:rPr>
            </w:pPr>
            <w:r w:rsidRPr="00E3763F">
              <w:rPr>
                <w:sz w:val="20"/>
                <w:szCs w:val="20"/>
              </w:rPr>
              <w:t>Case 1</w:t>
            </w:r>
          </w:p>
        </w:tc>
        <w:tc>
          <w:tcPr>
            <w:tcW w:w="1890" w:type="dxa"/>
          </w:tcPr>
          <w:p w14:paraId="2AA9FD56" w14:textId="53373E70" w:rsidR="00E3763F" w:rsidRPr="00E3763F" w:rsidRDefault="00E3763F" w:rsidP="00E04000">
            <w:pPr>
              <w:pStyle w:val="BodyText"/>
              <w:rPr>
                <w:sz w:val="20"/>
                <w:szCs w:val="20"/>
              </w:rPr>
            </w:pPr>
            <w:r w:rsidRPr="00E3763F">
              <w:rPr>
                <w:sz w:val="20"/>
                <w:szCs w:val="20"/>
              </w:rPr>
              <w:t>UE supports FG-x on  (BC#1, BC#2)</w:t>
            </w:r>
          </w:p>
        </w:tc>
        <w:tc>
          <w:tcPr>
            <w:tcW w:w="2340" w:type="dxa"/>
          </w:tcPr>
          <w:p w14:paraId="566894FF" w14:textId="77777777" w:rsidR="00E3763F" w:rsidRPr="00E3763F" w:rsidRDefault="00E3763F" w:rsidP="00E04000">
            <w:pPr>
              <w:pStyle w:val="BodyText"/>
              <w:rPr>
                <w:sz w:val="20"/>
                <w:szCs w:val="20"/>
              </w:rPr>
            </w:pPr>
            <w:r w:rsidRPr="00E3763F">
              <w:rPr>
                <w:sz w:val="20"/>
                <w:szCs w:val="20"/>
              </w:rPr>
              <w:t>UE supports FG-y on (BC#1, BC#2)</w:t>
            </w:r>
          </w:p>
        </w:tc>
        <w:tc>
          <w:tcPr>
            <w:tcW w:w="4406" w:type="dxa"/>
          </w:tcPr>
          <w:p w14:paraId="0528E2CA" w14:textId="77777777" w:rsidR="00E3763F" w:rsidRPr="00E3763F" w:rsidRDefault="00E3763F" w:rsidP="00E04000">
            <w:pPr>
              <w:pStyle w:val="BodyText"/>
              <w:rPr>
                <w:sz w:val="20"/>
                <w:szCs w:val="20"/>
              </w:rPr>
            </w:pPr>
            <w:r w:rsidRPr="00E3763F">
              <w:rPr>
                <w:sz w:val="20"/>
                <w:szCs w:val="20"/>
              </w:rPr>
              <w:t>UE supports {FG-x, FG-y} on (BC#1, BC#2)</w:t>
            </w:r>
          </w:p>
        </w:tc>
      </w:tr>
      <w:tr w:rsidR="00E3763F" w:rsidRPr="00E3763F" w14:paraId="1F2C2DA0" w14:textId="77777777" w:rsidTr="00E3763F">
        <w:tc>
          <w:tcPr>
            <w:tcW w:w="985" w:type="dxa"/>
          </w:tcPr>
          <w:p w14:paraId="7A8F03B8" w14:textId="173D4362" w:rsidR="00E3763F" w:rsidRPr="00E3763F" w:rsidRDefault="00E3763F" w:rsidP="00E04000">
            <w:pPr>
              <w:pStyle w:val="BodyText"/>
              <w:rPr>
                <w:sz w:val="20"/>
                <w:szCs w:val="20"/>
              </w:rPr>
            </w:pPr>
            <w:r w:rsidRPr="00E3763F">
              <w:rPr>
                <w:sz w:val="20"/>
                <w:szCs w:val="20"/>
              </w:rPr>
              <w:lastRenderedPageBreak/>
              <w:t>Case 2</w:t>
            </w:r>
          </w:p>
        </w:tc>
        <w:tc>
          <w:tcPr>
            <w:tcW w:w="1890" w:type="dxa"/>
          </w:tcPr>
          <w:p w14:paraId="5B8EB223" w14:textId="2634CAD5" w:rsidR="00E3763F" w:rsidRPr="00E3763F" w:rsidRDefault="00E3763F" w:rsidP="00E04000">
            <w:pPr>
              <w:pStyle w:val="BodyText"/>
              <w:rPr>
                <w:sz w:val="20"/>
                <w:szCs w:val="20"/>
              </w:rPr>
            </w:pPr>
            <w:r w:rsidRPr="00E3763F">
              <w:rPr>
                <w:sz w:val="20"/>
                <w:szCs w:val="20"/>
              </w:rPr>
              <w:t>UE supports FG-x on  (BC#1)</w:t>
            </w:r>
          </w:p>
        </w:tc>
        <w:tc>
          <w:tcPr>
            <w:tcW w:w="2340" w:type="dxa"/>
          </w:tcPr>
          <w:p w14:paraId="0C54D224" w14:textId="77777777" w:rsidR="00E3763F" w:rsidRPr="00E3763F" w:rsidRDefault="00E3763F" w:rsidP="00E04000">
            <w:pPr>
              <w:pStyle w:val="BodyText"/>
              <w:rPr>
                <w:sz w:val="20"/>
                <w:szCs w:val="20"/>
              </w:rPr>
            </w:pPr>
            <w:r w:rsidRPr="00E3763F">
              <w:rPr>
                <w:sz w:val="20"/>
                <w:szCs w:val="20"/>
              </w:rPr>
              <w:t>UE supports FG-y on (BC#1, BC#2)</w:t>
            </w:r>
          </w:p>
        </w:tc>
        <w:tc>
          <w:tcPr>
            <w:tcW w:w="4406" w:type="dxa"/>
          </w:tcPr>
          <w:p w14:paraId="08C43EED" w14:textId="77777777" w:rsidR="00E3763F" w:rsidRPr="00E3763F" w:rsidRDefault="00E3763F" w:rsidP="00E04000">
            <w:pPr>
              <w:pStyle w:val="BodyText"/>
              <w:rPr>
                <w:sz w:val="20"/>
                <w:szCs w:val="20"/>
              </w:rPr>
            </w:pPr>
            <w:r w:rsidRPr="00E3763F">
              <w:rPr>
                <w:sz w:val="20"/>
                <w:szCs w:val="20"/>
              </w:rPr>
              <w:t>UE supports {FG-x, FG-y} on (BC#1)</w:t>
            </w:r>
          </w:p>
          <w:p w14:paraId="2D0E785C" w14:textId="52561981" w:rsidR="00E3763F" w:rsidRPr="00E3763F" w:rsidRDefault="00E3763F" w:rsidP="00E04000">
            <w:pPr>
              <w:pStyle w:val="BodyText"/>
              <w:rPr>
                <w:sz w:val="20"/>
                <w:szCs w:val="20"/>
              </w:rPr>
            </w:pPr>
            <w:r w:rsidRPr="00E3763F">
              <w:rPr>
                <w:sz w:val="20"/>
                <w:szCs w:val="20"/>
              </w:rPr>
              <w:t>UE does not support FG-x on BC#2</w:t>
            </w:r>
          </w:p>
        </w:tc>
      </w:tr>
      <w:tr w:rsidR="00E3763F" w:rsidRPr="00E3763F" w14:paraId="48D2B0C2" w14:textId="77777777" w:rsidTr="00E3763F">
        <w:tc>
          <w:tcPr>
            <w:tcW w:w="985" w:type="dxa"/>
          </w:tcPr>
          <w:p w14:paraId="2790B950" w14:textId="24F6DD21" w:rsidR="00E3763F" w:rsidRPr="00E3763F" w:rsidRDefault="00E3763F" w:rsidP="00E04000">
            <w:pPr>
              <w:pStyle w:val="BodyText"/>
              <w:rPr>
                <w:sz w:val="20"/>
                <w:szCs w:val="20"/>
              </w:rPr>
            </w:pPr>
            <w:r w:rsidRPr="00E3763F">
              <w:rPr>
                <w:sz w:val="20"/>
                <w:szCs w:val="20"/>
              </w:rPr>
              <w:t xml:space="preserve">Case </w:t>
            </w:r>
            <w:r w:rsidR="00371129">
              <w:rPr>
                <w:sz w:val="20"/>
                <w:szCs w:val="20"/>
              </w:rPr>
              <w:t>3</w:t>
            </w:r>
          </w:p>
        </w:tc>
        <w:tc>
          <w:tcPr>
            <w:tcW w:w="1890" w:type="dxa"/>
          </w:tcPr>
          <w:p w14:paraId="7621F02D" w14:textId="3C467C46" w:rsidR="00E3763F" w:rsidRPr="00E3763F" w:rsidRDefault="00E3763F" w:rsidP="00E04000">
            <w:pPr>
              <w:pStyle w:val="BodyText"/>
              <w:rPr>
                <w:sz w:val="20"/>
                <w:szCs w:val="20"/>
              </w:rPr>
            </w:pPr>
            <w:r w:rsidRPr="00E3763F">
              <w:rPr>
                <w:sz w:val="20"/>
                <w:szCs w:val="20"/>
              </w:rPr>
              <w:t>UE supports FG-x on  (BC#3)</w:t>
            </w:r>
          </w:p>
        </w:tc>
        <w:tc>
          <w:tcPr>
            <w:tcW w:w="2340" w:type="dxa"/>
          </w:tcPr>
          <w:p w14:paraId="0F07DE72" w14:textId="77777777" w:rsidR="00E3763F" w:rsidRPr="00E3763F" w:rsidRDefault="00E3763F" w:rsidP="00E04000">
            <w:pPr>
              <w:pStyle w:val="BodyText"/>
              <w:rPr>
                <w:sz w:val="20"/>
                <w:szCs w:val="20"/>
              </w:rPr>
            </w:pPr>
            <w:r w:rsidRPr="00E3763F">
              <w:rPr>
                <w:sz w:val="20"/>
                <w:szCs w:val="20"/>
              </w:rPr>
              <w:t>UE supports FG-y on (BC#1, BC#2)</w:t>
            </w:r>
          </w:p>
        </w:tc>
        <w:tc>
          <w:tcPr>
            <w:tcW w:w="4406" w:type="dxa"/>
          </w:tcPr>
          <w:p w14:paraId="282B2C5C" w14:textId="77777777" w:rsidR="00E3763F" w:rsidRDefault="00E3763F" w:rsidP="00E04000">
            <w:pPr>
              <w:pStyle w:val="BodyText"/>
              <w:rPr>
                <w:sz w:val="20"/>
                <w:szCs w:val="20"/>
              </w:rPr>
            </w:pPr>
            <w:r w:rsidRPr="00E3763F">
              <w:rPr>
                <w:sz w:val="20"/>
                <w:szCs w:val="20"/>
              </w:rPr>
              <w:t xml:space="preserve">UE does not support FG-x on </w:t>
            </w:r>
            <w:r>
              <w:rPr>
                <w:sz w:val="20"/>
                <w:szCs w:val="20"/>
              </w:rPr>
              <w:t xml:space="preserve">BC#1, </w:t>
            </w:r>
            <w:r w:rsidRPr="00E3763F">
              <w:rPr>
                <w:sz w:val="20"/>
                <w:szCs w:val="20"/>
              </w:rPr>
              <w:t>BC#2 or BC#3</w:t>
            </w:r>
          </w:p>
          <w:p w14:paraId="1D3D0417" w14:textId="27634402" w:rsidR="00E33181" w:rsidRPr="00E33181" w:rsidRDefault="00E33181" w:rsidP="00E04000">
            <w:pPr>
              <w:pStyle w:val="BodyText"/>
              <w:rPr>
                <w:i/>
                <w:iCs/>
                <w:sz w:val="20"/>
                <w:szCs w:val="20"/>
              </w:rPr>
            </w:pPr>
            <w:r>
              <w:rPr>
                <w:i/>
                <w:iCs/>
                <w:color w:val="0070C0"/>
                <w:sz w:val="20"/>
                <w:szCs w:val="20"/>
              </w:rPr>
              <w:t xml:space="preserve">Note: </w:t>
            </w:r>
            <w:r w:rsidRPr="00E33181">
              <w:rPr>
                <w:i/>
                <w:iCs/>
                <w:color w:val="0070C0"/>
                <w:sz w:val="20"/>
                <w:szCs w:val="20"/>
              </w:rPr>
              <w:t>This may be considered an erroneous report for FG-x</w:t>
            </w:r>
          </w:p>
        </w:tc>
      </w:tr>
    </w:tbl>
    <w:p w14:paraId="49C76100" w14:textId="1092C1B3" w:rsidR="00B052AD" w:rsidRDefault="00B052AD" w:rsidP="00B052AD">
      <w:pPr>
        <w:pStyle w:val="BodyText"/>
      </w:pPr>
    </w:p>
    <w:p w14:paraId="0766C123" w14:textId="740D3B59" w:rsidR="0002615B" w:rsidRDefault="0002615B" w:rsidP="005556A4">
      <w:r>
        <w:t>It is proposed that the understanding is formally captured (e.g., in TS 38.306) if Type of FG-x is broader than Type of its prerequisite FG-y.</w:t>
      </w:r>
    </w:p>
    <w:p w14:paraId="28181244" w14:textId="4FF39E3A" w:rsidR="0002615B" w:rsidRDefault="0002615B" w:rsidP="0002615B">
      <w:pPr>
        <w:pStyle w:val="Proposal"/>
      </w:pPr>
      <w:bookmarkStart w:id="26" w:name="_Toc101718905"/>
      <w:r>
        <w:t>Formally capture that Type of an FG-x can be broader than Type of Its Prerequisite FG-y.</w:t>
      </w:r>
      <w:bookmarkEnd w:id="26"/>
    </w:p>
    <w:p w14:paraId="51EE3BD9" w14:textId="32649FA5" w:rsidR="0002615B" w:rsidRDefault="0002615B" w:rsidP="0002615B">
      <w:pPr>
        <w:pStyle w:val="Proposal"/>
      </w:pPr>
      <w:bookmarkStart w:id="27" w:name="_Toc101718906"/>
      <w:r>
        <w:t>Formally capture the interpretation when Type of FG-x is broader than Type of Its Prerequisite FG-y: for a narrower scenario where UE supports FG-y, {FG-x, FG-y} are supported for the narrower scenario, if UE reports FG-x for the broader scenario.</w:t>
      </w:r>
      <w:bookmarkEnd w:id="27"/>
    </w:p>
    <w:p w14:paraId="327AB254" w14:textId="77777777" w:rsidR="0002615B" w:rsidRDefault="0002615B" w:rsidP="00B052AD">
      <w:pPr>
        <w:pStyle w:val="BodyText"/>
      </w:pPr>
    </w:p>
    <w:p w14:paraId="375D782F" w14:textId="77777777" w:rsidR="00C01F33" w:rsidRPr="00CE0424" w:rsidRDefault="00C01F33" w:rsidP="00CE0424">
      <w:pPr>
        <w:pStyle w:val="Heading1"/>
      </w:pPr>
      <w:r w:rsidRPr="00CE0424">
        <w:t>Conclusion</w:t>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2BCDD1A" w14:textId="4293B2D8" w:rsidR="00E33181" w:rsidRDefault="006E1C82">
      <w:pPr>
        <w:pStyle w:val="TableofFigures"/>
        <w:tabs>
          <w:tab w:val="right" w:leader="dot" w:pos="9621"/>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18888" w:history="1">
        <w:r w:rsidR="00E33181" w:rsidRPr="00190877">
          <w:rPr>
            <w:rStyle w:val="Hyperlink"/>
            <w:noProof/>
          </w:rPr>
          <w:t>Proposal 1</w:t>
        </w:r>
        <w:r w:rsidR="00E33181">
          <w:rPr>
            <w:rFonts w:asciiTheme="minorHAnsi" w:eastAsiaTheme="minorEastAsia" w:hAnsiTheme="minorHAnsi" w:cstheme="minorBidi"/>
            <w:b w:val="0"/>
            <w:noProof/>
            <w:sz w:val="22"/>
            <w:szCs w:val="22"/>
            <w:lang w:val="en-US"/>
          </w:rPr>
          <w:tab/>
        </w:r>
        <w:r w:rsidR="00E33181" w:rsidRPr="00190877">
          <w:rPr>
            <w:rStyle w:val="Hyperlink"/>
            <w:noProof/>
          </w:rPr>
          <w:t>Adopt “Per UE” type for remaining FG 25-X.</w:t>
        </w:r>
      </w:hyperlink>
    </w:p>
    <w:p w14:paraId="027B2AE8" w14:textId="4FFD1972"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89" w:history="1">
        <w:r w:rsidR="00E33181" w:rsidRPr="00190877">
          <w:rPr>
            <w:rStyle w:val="Hyperlink"/>
            <w:noProof/>
          </w:rPr>
          <w:t>Proposal 2</w:t>
        </w:r>
        <w:r w:rsidR="00E33181">
          <w:rPr>
            <w:rFonts w:asciiTheme="minorHAnsi" w:eastAsiaTheme="minorEastAsia" w:hAnsiTheme="minorHAnsi" w:cstheme="minorBidi"/>
            <w:b w:val="0"/>
            <w:noProof/>
            <w:sz w:val="22"/>
            <w:szCs w:val="22"/>
            <w:lang w:val="en-US"/>
          </w:rPr>
          <w:tab/>
        </w:r>
        <w:r w:rsidR="00E33181" w:rsidRPr="00190877">
          <w:rPr>
            <w:rStyle w:val="Hyperlink"/>
            <w:noProof/>
          </w:rPr>
          <w:t>Confirm FG 5-18 as prerequisite of FG 25-1.</w:t>
        </w:r>
      </w:hyperlink>
    </w:p>
    <w:p w14:paraId="4A29AE71" w14:textId="39EDFD22"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0" w:history="1">
        <w:r w:rsidR="00E33181" w:rsidRPr="00190877">
          <w:rPr>
            <w:rStyle w:val="Hyperlink"/>
            <w:noProof/>
          </w:rPr>
          <w:t>Proposal 3</w:t>
        </w:r>
        <w:r w:rsidR="00E33181">
          <w:rPr>
            <w:rFonts w:asciiTheme="minorHAnsi" w:eastAsiaTheme="minorEastAsia" w:hAnsiTheme="minorHAnsi" w:cstheme="minorBidi"/>
            <w:b w:val="0"/>
            <w:noProof/>
            <w:sz w:val="22"/>
            <w:szCs w:val="22"/>
            <w:lang w:val="en-US"/>
          </w:rPr>
          <w:tab/>
        </w:r>
        <w:r w:rsidR="00E33181" w:rsidRPr="00190877">
          <w:rPr>
            <w:rStyle w:val="Hyperlink"/>
            <w:noProof/>
          </w:rPr>
          <w:t>Confirm FG 4-23 as prerequisite of FG 25-2.</w:t>
        </w:r>
      </w:hyperlink>
    </w:p>
    <w:p w14:paraId="3C160CAE" w14:textId="0EE184B0"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1" w:history="1">
        <w:r w:rsidR="00E33181" w:rsidRPr="00190877">
          <w:rPr>
            <w:rStyle w:val="Hyperlink"/>
            <w:noProof/>
          </w:rPr>
          <w:t>Proposal 4</w:t>
        </w:r>
        <w:r w:rsidR="00E33181">
          <w:rPr>
            <w:rFonts w:asciiTheme="minorHAnsi" w:eastAsiaTheme="minorEastAsia" w:hAnsiTheme="minorHAnsi" w:cstheme="minorBidi"/>
            <w:b w:val="0"/>
            <w:noProof/>
            <w:sz w:val="22"/>
            <w:szCs w:val="22"/>
            <w:lang w:val="en-US"/>
          </w:rPr>
          <w:tab/>
        </w:r>
        <w:r w:rsidR="00E33181" w:rsidRPr="00190877">
          <w:rPr>
            <w:rStyle w:val="Hyperlink"/>
            <w:noProof/>
          </w:rPr>
          <w:t>Confirm FG 4-23 and FG 11-3 as prerequisites of FG 25-3.</w:t>
        </w:r>
      </w:hyperlink>
    </w:p>
    <w:p w14:paraId="34F141B5" w14:textId="71D59A73"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2" w:history="1">
        <w:r w:rsidR="00E33181" w:rsidRPr="00190877">
          <w:rPr>
            <w:rStyle w:val="Hyperlink"/>
            <w:noProof/>
          </w:rPr>
          <w:t>Proposal 5</w:t>
        </w:r>
        <w:r w:rsidR="00E33181">
          <w:rPr>
            <w:rFonts w:asciiTheme="minorHAnsi" w:eastAsiaTheme="minorEastAsia" w:hAnsiTheme="minorHAnsi" w:cstheme="minorBidi"/>
            <w:b w:val="0"/>
            <w:noProof/>
            <w:sz w:val="22"/>
            <w:szCs w:val="22"/>
            <w:lang w:val="en-US"/>
          </w:rPr>
          <w:tab/>
        </w:r>
        <w:r w:rsidR="00E33181" w:rsidRPr="00190877">
          <w:rPr>
            <w:rStyle w:val="Hyperlink"/>
            <w:noProof/>
          </w:rPr>
          <w:t>Support FG 30-5 and FG 4-23 as prerequisites for FG 25-3a.</w:t>
        </w:r>
      </w:hyperlink>
    </w:p>
    <w:p w14:paraId="26729612" w14:textId="6860EA12"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3" w:history="1">
        <w:r w:rsidR="00E33181" w:rsidRPr="00190877">
          <w:rPr>
            <w:rStyle w:val="Hyperlink"/>
            <w:noProof/>
          </w:rPr>
          <w:t>Proposal 6</w:t>
        </w:r>
        <w:r w:rsidR="00E33181">
          <w:rPr>
            <w:rFonts w:asciiTheme="minorHAnsi" w:eastAsiaTheme="minorEastAsia" w:hAnsiTheme="minorHAnsi" w:cstheme="minorBidi"/>
            <w:b w:val="0"/>
            <w:noProof/>
            <w:sz w:val="22"/>
            <w:szCs w:val="22"/>
            <w:lang w:val="en-US"/>
          </w:rPr>
          <w:tab/>
        </w:r>
        <w:r w:rsidR="00E33181" w:rsidRPr="00190877">
          <w:rPr>
            <w:rStyle w:val="Hyperlink"/>
            <w:noProof/>
          </w:rPr>
          <w:t>Support FG 11-3 and FG 4-23 as prerequisites for FG 25-3b.</w:t>
        </w:r>
      </w:hyperlink>
    </w:p>
    <w:p w14:paraId="14F3F7CC" w14:textId="586DEDDD"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4" w:history="1">
        <w:r w:rsidR="00E33181" w:rsidRPr="00190877">
          <w:rPr>
            <w:rStyle w:val="Hyperlink"/>
            <w:noProof/>
          </w:rPr>
          <w:t>Proposal 7</w:t>
        </w:r>
        <w:r w:rsidR="00E33181">
          <w:rPr>
            <w:rFonts w:asciiTheme="minorHAnsi" w:eastAsiaTheme="minorEastAsia" w:hAnsiTheme="minorHAnsi" w:cstheme="minorBidi"/>
            <w:b w:val="0"/>
            <w:noProof/>
            <w:sz w:val="22"/>
            <w:szCs w:val="22"/>
            <w:lang w:val="en-US"/>
          </w:rPr>
          <w:tab/>
        </w:r>
        <w:r w:rsidR="00E33181" w:rsidRPr="00190877">
          <w:rPr>
            <w:rStyle w:val="Hyperlink"/>
            <w:noProof/>
          </w:rPr>
          <w:t>Fix the typo in component description of FG 25-3b as “sub-slot based PUCCH configurations”.</w:t>
        </w:r>
      </w:hyperlink>
    </w:p>
    <w:p w14:paraId="6E761CFB" w14:textId="3627B272"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5" w:history="1">
        <w:r w:rsidR="00E33181" w:rsidRPr="00190877">
          <w:rPr>
            <w:rStyle w:val="Hyperlink"/>
            <w:noProof/>
          </w:rPr>
          <w:t>Proposal 8</w:t>
        </w:r>
        <w:r w:rsidR="00E33181">
          <w:rPr>
            <w:rFonts w:asciiTheme="minorHAnsi" w:eastAsiaTheme="minorEastAsia" w:hAnsiTheme="minorHAnsi" w:cstheme="minorBidi"/>
            <w:b w:val="0"/>
            <w:noProof/>
            <w:sz w:val="22"/>
            <w:szCs w:val="22"/>
            <w:lang w:val="en-US"/>
          </w:rPr>
          <w:tab/>
        </w:r>
        <w:r w:rsidR="00E33181" w:rsidRPr="00190877">
          <w:rPr>
            <w:rStyle w:val="Hyperlink"/>
            <w:noProof/>
          </w:rPr>
          <w:t>Confirm the prerequisite feature groups of FG 25-4 and 25-5. No prerequisite is needed for FG 25-7.</w:t>
        </w:r>
      </w:hyperlink>
    </w:p>
    <w:p w14:paraId="4442BB26" w14:textId="069DD474"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6" w:history="1">
        <w:r w:rsidR="00E33181" w:rsidRPr="00190877">
          <w:rPr>
            <w:rStyle w:val="Hyperlink"/>
            <w:noProof/>
          </w:rPr>
          <w:t>Proposal 9</w:t>
        </w:r>
        <w:r w:rsidR="00E33181">
          <w:rPr>
            <w:rFonts w:asciiTheme="minorHAnsi" w:eastAsiaTheme="minorEastAsia" w:hAnsiTheme="minorHAnsi" w:cstheme="minorBidi"/>
            <w:b w:val="0"/>
            <w:noProof/>
            <w:sz w:val="22"/>
            <w:szCs w:val="22"/>
            <w:lang w:val="en-US"/>
          </w:rPr>
          <w:tab/>
        </w:r>
        <w:r w:rsidR="00E33181" w:rsidRPr="00190877">
          <w:rPr>
            <w:rStyle w:val="Hyperlink"/>
            <w:noProof/>
          </w:rPr>
          <w:t>FGs 25-9 to 25-10a support the corresponding PUCCH cell switching functionalities for one PUCCH group as well as two PUCCH groups.</w:t>
        </w:r>
      </w:hyperlink>
    </w:p>
    <w:p w14:paraId="4F128548" w14:textId="5203D886"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7" w:history="1">
        <w:r w:rsidR="00E33181" w:rsidRPr="00190877">
          <w:rPr>
            <w:rStyle w:val="Hyperlink"/>
            <w:noProof/>
          </w:rPr>
          <w:t>Proposal 10</w:t>
        </w:r>
        <w:r w:rsidR="00E33181">
          <w:rPr>
            <w:rFonts w:asciiTheme="minorHAnsi" w:eastAsiaTheme="minorEastAsia" w:hAnsiTheme="minorHAnsi" w:cstheme="minorBidi"/>
            <w:b w:val="0"/>
            <w:noProof/>
            <w:sz w:val="22"/>
            <w:szCs w:val="22"/>
            <w:lang w:val="en-US"/>
          </w:rPr>
          <w:tab/>
        </w:r>
        <w:r w:rsidR="00E33181" w:rsidRPr="00190877">
          <w:rPr>
            <w:rStyle w:val="Hyperlink"/>
            <w:noProof/>
          </w:rPr>
          <w:t>Add FG 2-32 “Basic CSI feedback” as a prerequisite for FG 25-11 “</w:t>
        </w:r>
        <w:r w:rsidR="00E33181" w:rsidRPr="00190877">
          <w:rPr>
            <w:rStyle w:val="Hyperlink"/>
            <w:rFonts w:cs="Arial"/>
            <w:noProof/>
          </w:rPr>
          <w:t>4-bits subband CQI</w:t>
        </w:r>
        <w:r w:rsidR="00E33181" w:rsidRPr="00190877">
          <w:rPr>
            <w:rStyle w:val="Hyperlink"/>
            <w:noProof/>
          </w:rPr>
          <w:t>”.</w:t>
        </w:r>
      </w:hyperlink>
    </w:p>
    <w:p w14:paraId="14900B40" w14:textId="3D88C6BF"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8" w:history="1">
        <w:r w:rsidR="00E33181" w:rsidRPr="00190877">
          <w:rPr>
            <w:rStyle w:val="Hyperlink"/>
            <w:noProof/>
          </w:rPr>
          <w:t>Proposal 11</w:t>
        </w:r>
        <w:r w:rsidR="00E33181">
          <w:rPr>
            <w:rFonts w:asciiTheme="minorHAnsi" w:eastAsiaTheme="minorEastAsia" w:hAnsiTheme="minorHAnsi" w:cstheme="minorBidi"/>
            <w:b w:val="0"/>
            <w:noProof/>
            <w:sz w:val="22"/>
            <w:szCs w:val="22"/>
            <w:lang w:val="en-US"/>
          </w:rPr>
          <w:tab/>
        </w:r>
        <w:r w:rsidR="00E33181" w:rsidRPr="00190877">
          <w:rPr>
            <w:rStyle w:val="Hyperlink"/>
            <w:noProof/>
          </w:rPr>
          <w:t>Confirm FG 25-11 “</w:t>
        </w:r>
        <w:r w:rsidR="00E33181" w:rsidRPr="00190877">
          <w:rPr>
            <w:rStyle w:val="Hyperlink"/>
            <w:rFonts w:cs="Arial"/>
            <w:noProof/>
          </w:rPr>
          <w:t>4-bits subband CQI</w:t>
        </w:r>
        <w:r w:rsidR="00E33181" w:rsidRPr="00190877">
          <w:rPr>
            <w:rStyle w:val="Hyperlink"/>
            <w:noProof/>
          </w:rPr>
          <w:t>” as a “Per UE” capability.</w:t>
        </w:r>
      </w:hyperlink>
    </w:p>
    <w:p w14:paraId="750C65E5" w14:textId="258B6F4C"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899" w:history="1">
        <w:r w:rsidR="00E33181" w:rsidRPr="00190877">
          <w:rPr>
            <w:rStyle w:val="Hyperlink"/>
            <w:noProof/>
          </w:rPr>
          <w:t>Proposal 12</w:t>
        </w:r>
        <w:r w:rsidR="00E33181">
          <w:rPr>
            <w:rFonts w:asciiTheme="minorHAnsi" w:eastAsiaTheme="minorEastAsia" w:hAnsiTheme="minorHAnsi" w:cstheme="minorBidi"/>
            <w:b w:val="0"/>
            <w:noProof/>
            <w:sz w:val="22"/>
            <w:szCs w:val="22"/>
            <w:lang w:val="en-US"/>
          </w:rPr>
          <w:tab/>
        </w:r>
        <w:r w:rsidR="00E33181" w:rsidRPr="00190877">
          <w:rPr>
            <w:rStyle w:val="Hyperlink"/>
            <w:noProof/>
          </w:rPr>
          <w:t>Adopt the proposed changes in red in Table 2 for FG 25-12.</w:t>
        </w:r>
      </w:hyperlink>
    </w:p>
    <w:p w14:paraId="77AE059D" w14:textId="443FCD4D"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900" w:history="1">
        <w:r w:rsidR="00E33181" w:rsidRPr="00190877">
          <w:rPr>
            <w:rStyle w:val="Hyperlink"/>
            <w:noProof/>
          </w:rPr>
          <w:t>Proposal 13</w:t>
        </w:r>
        <w:r w:rsidR="00E33181">
          <w:rPr>
            <w:rFonts w:asciiTheme="minorHAnsi" w:eastAsiaTheme="minorEastAsia" w:hAnsiTheme="minorHAnsi" w:cstheme="minorBidi"/>
            <w:b w:val="0"/>
            <w:noProof/>
            <w:sz w:val="22"/>
            <w:szCs w:val="22"/>
            <w:lang w:val="en-US"/>
          </w:rPr>
          <w:tab/>
        </w:r>
        <w:r w:rsidR="00E33181" w:rsidRPr="00190877">
          <w:rPr>
            <w:rStyle w:val="Hyperlink"/>
            <w:noProof/>
          </w:rPr>
          <w:t>Add support of PUSCH with repetition in the components for FG 25-14 and 25-15: “2. Support cancellation per actual repetition if LP DG-PUSCH and/or HP CG-PUSCH is repeated”.</w:t>
        </w:r>
      </w:hyperlink>
    </w:p>
    <w:p w14:paraId="6A1A48F3" w14:textId="33A3FAD3"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901" w:history="1">
        <w:r w:rsidR="00E33181" w:rsidRPr="00190877">
          <w:rPr>
            <w:rStyle w:val="Hyperlink"/>
            <w:noProof/>
          </w:rPr>
          <w:t>Proposal 14</w:t>
        </w:r>
        <w:r w:rsidR="00E33181">
          <w:rPr>
            <w:rFonts w:asciiTheme="minorHAnsi" w:eastAsiaTheme="minorEastAsia" w:hAnsiTheme="minorHAnsi" w:cstheme="minorBidi"/>
            <w:b w:val="0"/>
            <w:noProof/>
            <w:sz w:val="22"/>
            <w:szCs w:val="22"/>
            <w:lang w:val="en-US"/>
          </w:rPr>
          <w:tab/>
        </w:r>
        <w:r w:rsidR="00E33181" w:rsidRPr="00190877">
          <w:rPr>
            <w:rStyle w:val="Hyperlink"/>
            <w:noProof/>
          </w:rPr>
          <w:t>FG 25-18a component description is revised to: “Support simultaneous PUCCH/PUSCH transmissions of different priorities on different cells for inter-band CA.”</w:t>
        </w:r>
      </w:hyperlink>
    </w:p>
    <w:p w14:paraId="0D6D884B" w14:textId="33187016"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902" w:history="1">
        <w:r w:rsidR="00E33181" w:rsidRPr="00190877">
          <w:rPr>
            <w:rStyle w:val="Hyperlink"/>
            <w:noProof/>
          </w:rPr>
          <w:t>Proposal 15</w:t>
        </w:r>
        <w:r w:rsidR="00E33181">
          <w:rPr>
            <w:rFonts w:asciiTheme="minorHAnsi" w:eastAsiaTheme="minorEastAsia" w:hAnsiTheme="minorHAnsi" w:cstheme="minorBidi"/>
            <w:b w:val="0"/>
            <w:noProof/>
            <w:sz w:val="22"/>
            <w:szCs w:val="22"/>
            <w:lang w:val="en-US"/>
          </w:rPr>
          <w:tab/>
        </w:r>
        <w:r w:rsidR="00E33181" w:rsidRPr="00190877">
          <w:rPr>
            <w:rStyle w:val="Hyperlink"/>
            <w:noProof/>
          </w:rPr>
          <w:t>FG 25-19 is not included as a prerequisite of FG 25-19a.</w:t>
        </w:r>
      </w:hyperlink>
    </w:p>
    <w:p w14:paraId="3E125BF2" w14:textId="0F14964B"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903" w:history="1">
        <w:r w:rsidR="00E33181" w:rsidRPr="00190877">
          <w:rPr>
            <w:rStyle w:val="Hyperlink"/>
            <w:noProof/>
          </w:rPr>
          <w:t>Proposal 16</w:t>
        </w:r>
        <w:r w:rsidR="00E33181">
          <w:rPr>
            <w:rFonts w:asciiTheme="minorHAnsi" w:eastAsiaTheme="minorEastAsia" w:hAnsiTheme="minorHAnsi" w:cstheme="minorBidi"/>
            <w:b w:val="0"/>
            <w:noProof/>
            <w:sz w:val="22"/>
            <w:szCs w:val="22"/>
            <w:lang w:val="en-US"/>
          </w:rPr>
          <w:tab/>
        </w:r>
        <w:r w:rsidR="00E33181" w:rsidRPr="00190877">
          <w:rPr>
            <w:rStyle w:val="Hyperlink"/>
            <w:noProof/>
          </w:rPr>
          <w:t>FG 13-1 is not included as a prerequisite of FG 25-19a.</w:t>
        </w:r>
      </w:hyperlink>
    </w:p>
    <w:p w14:paraId="615E1D51" w14:textId="77819CEC"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904" w:history="1">
        <w:r w:rsidR="00E33181" w:rsidRPr="00190877">
          <w:rPr>
            <w:rStyle w:val="Hyperlink"/>
            <w:noProof/>
          </w:rPr>
          <w:t>Proposal 17</w:t>
        </w:r>
        <w:r w:rsidR="00E33181">
          <w:rPr>
            <w:rFonts w:asciiTheme="minorHAnsi" w:eastAsiaTheme="minorEastAsia" w:hAnsiTheme="minorHAnsi" w:cstheme="minorBidi"/>
            <w:b w:val="0"/>
            <w:noProof/>
            <w:sz w:val="22"/>
            <w:szCs w:val="22"/>
            <w:lang w:val="en-US"/>
          </w:rPr>
          <w:tab/>
        </w:r>
        <w:r w:rsidR="00E33181" w:rsidRPr="00190877">
          <w:rPr>
            <w:rStyle w:val="Hyperlink"/>
            <w:noProof/>
          </w:rPr>
          <w:t>Components of FG 13-1 are not included in FG 25-19a.</w:t>
        </w:r>
      </w:hyperlink>
    </w:p>
    <w:p w14:paraId="7297946C" w14:textId="133805A9"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905" w:history="1">
        <w:r w:rsidR="00E33181" w:rsidRPr="00190877">
          <w:rPr>
            <w:rStyle w:val="Hyperlink"/>
            <w:noProof/>
          </w:rPr>
          <w:t>Proposal 18</w:t>
        </w:r>
        <w:r w:rsidR="00E33181">
          <w:rPr>
            <w:rFonts w:asciiTheme="minorHAnsi" w:eastAsiaTheme="minorEastAsia" w:hAnsiTheme="minorHAnsi" w:cstheme="minorBidi"/>
            <w:b w:val="0"/>
            <w:noProof/>
            <w:sz w:val="22"/>
            <w:szCs w:val="22"/>
            <w:lang w:val="en-US"/>
          </w:rPr>
          <w:tab/>
        </w:r>
        <w:r w:rsidR="00E33181" w:rsidRPr="00190877">
          <w:rPr>
            <w:rStyle w:val="Hyperlink"/>
            <w:noProof/>
          </w:rPr>
          <w:t>Formally capture that Type of an FG-x can be broader than Type of Its Prerequisite FG-y.</w:t>
        </w:r>
      </w:hyperlink>
    </w:p>
    <w:p w14:paraId="3C25F7EF" w14:textId="4C416428" w:rsidR="00E33181" w:rsidRDefault="003A08B7">
      <w:pPr>
        <w:pStyle w:val="TableofFigures"/>
        <w:tabs>
          <w:tab w:val="right" w:leader="dot" w:pos="9621"/>
        </w:tabs>
        <w:rPr>
          <w:rFonts w:asciiTheme="minorHAnsi" w:eastAsiaTheme="minorEastAsia" w:hAnsiTheme="minorHAnsi" w:cstheme="minorBidi"/>
          <w:b w:val="0"/>
          <w:noProof/>
          <w:sz w:val="22"/>
          <w:szCs w:val="22"/>
          <w:lang w:val="en-US"/>
        </w:rPr>
      </w:pPr>
      <w:hyperlink w:anchor="_Toc101718906" w:history="1">
        <w:r w:rsidR="00E33181" w:rsidRPr="00190877">
          <w:rPr>
            <w:rStyle w:val="Hyperlink"/>
            <w:noProof/>
          </w:rPr>
          <w:t>Proposal 19</w:t>
        </w:r>
        <w:r w:rsidR="00E33181">
          <w:rPr>
            <w:rFonts w:asciiTheme="minorHAnsi" w:eastAsiaTheme="minorEastAsia" w:hAnsiTheme="minorHAnsi" w:cstheme="minorBidi"/>
            <w:b w:val="0"/>
            <w:noProof/>
            <w:sz w:val="22"/>
            <w:szCs w:val="22"/>
            <w:lang w:val="en-US"/>
          </w:rPr>
          <w:tab/>
        </w:r>
        <w:r w:rsidR="00E33181" w:rsidRPr="00190877">
          <w:rPr>
            <w:rStyle w:val="Hyperlink"/>
            <w:noProof/>
          </w:rPr>
          <w:t>Formally capture the interpretation when Type of FG-x is broader than Type of Its Prerequisite FG-y: for a narrower scenario where UE supports FG-y, {FG-x, FG-y} are supported for the narrower scenario, if UE reports FG-x for the broader scenario.</w:t>
        </w:r>
      </w:hyperlink>
    </w:p>
    <w:p w14:paraId="20461022" w14:textId="17A559AD"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28" w:name="_In-sequence_SDU_delivery"/>
      <w:bookmarkEnd w:id="28"/>
      <w:r w:rsidRPr="00CE0424">
        <w:t>References</w:t>
      </w:r>
    </w:p>
    <w:p w14:paraId="613A020A" w14:textId="0596D085" w:rsidR="0090039C" w:rsidRPr="0090039C" w:rsidRDefault="008671B2" w:rsidP="0090039C">
      <w:pPr>
        <w:pStyle w:val="Reference"/>
        <w:rPr>
          <w:rFonts w:eastAsia="Malgun Gothic" w:cs="Arial"/>
          <w:lang w:val="en-US" w:eastAsia="ko-KR"/>
        </w:rPr>
      </w:pPr>
      <w:bookmarkStart w:id="29" w:name="_Ref90685234"/>
      <w:bookmarkStart w:id="30" w:name="_Ref174151459"/>
      <w:bookmarkStart w:id="31" w:name="_Ref189809556"/>
      <w:r w:rsidRPr="008671B2">
        <w:rPr>
          <w:rFonts w:eastAsia="Malgun Gothic"/>
          <w:lang w:val="en-US"/>
        </w:rPr>
        <w:t>R1-220</w:t>
      </w:r>
      <w:r w:rsidR="0078560F">
        <w:rPr>
          <w:rFonts w:eastAsia="Malgun Gothic"/>
          <w:lang w:val="en-US"/>
        </w:rPr>
        <w:t>2928</w:t>
      </w:r>
      <w:r w:rsidR="0090039C" w:rsidRPr="0090039C">
        <w:rPr>
          <w:rFonts w:eastAsia="Malgun Gothic"/>
          <w:lang w:val="en-US"/>
        </w:rPr>
        <w:tab/>
      </w:r>
      <w:r w:rsidR="0090039C" w:rsidRPr="0090039C">
        <w:rPr>
          <w:rFonts w:eastAsia="Malgun Gothic"/>
          <w:lang w:val="en-US"/>
        </w:rPr>
        <w:tab/>
      </w:r>
      <w:r>
        <w:rPr>
          <w:rFonts w:eastAsia="Malgun Gothic"/>
          <w:lang w:val="en-US" w:eastAsia="en-US"/>
        </w:rPr>
        <w:t>Updated RAN1 UE features list for Rel-17 NR after RAN1 #10</w:t>
      </w:r>
      <w:r w:rsidR="00E701CD">
        <w:rPr>
          <w:rFonts w:eastAsia="Malgun Gothic"/>
          <w:lang w:val="en-US" w:eastAsia="en-US"/>
        </w:rPr>
        <w:t>8</w:t>
      </w:r>
      <w:r>
        <w:rPr>
          <w:rFonts w:eastAsia="Malgun Gothic"/>
          <w:lang w:val="en-US" w:eastAsia="en-US"/>
        </w:rPr>
        <w:t>-e</w:t>
      </w:r>
      <w:r w:rsidR="0090039C" w:rsidRPr="0090039C">
        <w:rPr>
          <w:rFonts w:eastAsia="Malgun Gothic"/>
          <w:lang w:val="en-US"/>
        </w:rPr>
        <w:t xml:space="preserve">; </w:t>
      </w:r>
      <w:r w:rsidR="0090039C" w:rsidRPr="0090039C">
        <w:rPr>
          <w:rFonts w:eastAsia="Malgun Gothic"/>
          <w:lang w:val="en-US" w:eastAsia="en-US"/>
        </w:rPr>
        <w:t>Moderators (AT&amp;T, NTT DOCOMO, INC.)</w:t>
      </w:r>
      <w:bookmarkEnd w:id="29"/>
    </w:p>
    <w:p w14:paraId="4FFD1B46" w14:textId="294EF0C0" w:rsidR="00E737BE" w:rsidRPr="007D1C28" w:rsidRDefault="008671B2" w:rsidP="00EB70E5">
      <w:pPr>
        <w:pStyle w:val="Reference"/>
      </w:pPr>
      <w:bookmarkStart w:id="32" w:name="_Ref90685320"/>
      <w:bookmarkStart w:id="33" w:name="_Ref101663762"/>
      <w:r w:rsidRPr="008671B2">
        <w:t>R1-220</w:t>
      </w:r>
      <w:r w:rsidR="0078560F">
        <w:t>2927</w:t>
      </w:r>
      <w:r w:rsidR="0090039C" w:rsidRPr="0090039C">
        <w:tab/>
      </w:r>
      <w:r w:rsidR="0090039C" w:rsidRPr="0090039C">
        <w:tab/>
      </w:r>
      <w:r w:rsidR="00E737BE" w:rsidRPr="0090039C">
        <w:t>L</w:t>
      </w:r>
      <w:r w:rsidR="00FA379C" w:rsidRPr="0090039C">
        <w:t>S</w:t>
      </w:r>
      <w:r w:rsidR="00E737BE" w:rsidRPr="0090039C">
        <w:t xml:space="preserve"> on update</w:t>
      </w:r>
      <w:r w:rsidR="00FA379C" w:rsidRPr="0090039C">
        <w:t xml:space="preserve">d Rel-17 RAN1 UE features list for NR; </w:t>
      </w:r>
      <w:r w:rsidR="0090039C" w:rsidRPr="0090039C">
        <w:rPr>
          <w:rFonts w:cs="Arial"/>
        </w:rPr>
        <w:t>RAN1</w:t>
      </w:r>
      <w:bookmarkEnd w:id="32"/>
      <w:r>
        <w:rPr>
          <w:rFonts w:cs="Arial"/>
        </w:rPr>
        <w:t>.</w:t>
      </w:r>
      <w:bookmarkEnd w:id="33"/>
    </w:p>
    <w:p w14:paraId="6F06C1AE" w14:textId="1243F47E" w:rsidR="007D1C28" w:rsidRPr="0090039C" w:rsidRDefault="008671B2" w:rsidP="007D1C28">
      <w:pPr>
        <w:pStyle w:val="Reference"/>
      </w:pPr>
      <w:bookmarkStart w:id="34" w:name="_Ref86883114"/>
      <w:r w:rsidRPr="008671B2">
        <w:t>R1-220</w:t>
      </w:r>
      <w:r w:rsidR="009B6CE0">
        <w:t>1514</w:t>
      </w:r>
      <w:r w:rsidR="009B6CE0">
        <w:tab/>
      </w:r>
      <w:r w:rsidR="009B6CE0">
        <w:tab/>
      </w:r>
      <w:r w:rsidR="007D1C28" w:rsidRPr="0090039C">
        <w:rPr>
          <w:rFonts w:eastAsia="Malgun Gothic"/>
          <w:bCs/>
          <w:lang w:val="en-US" w:eastAsia="en-US"/>
        </w:rPr>
        <w:t xml:space="preserve">Summary on UE features for enhanced </w:t>
      </w:r>
      <w:proofErr w:type="spellStart"/>
      <w:r w:rsidR="007D1C28" w:rsidRPr="0090039C">
        <w:rPr>
          <w:rFonts w:eastAsia="Malgun Gothic"/>
          <w:bCs/>
          <w:lang w:val="en-US" w:eastAsia="en-US"/>
        </w:rPr>
        <w:t>IIoT</w:t>
      </w:r>
      <w:proofErr w:type="spellEnd"/>
      <w:r w:rsidR="007D1C28" w:rsidRPr="0090039C">
        <w:rPr>
          <w:rFonts w:eastAsia="Malgun Gothic"/>
          <w:bCs/>
          <w:lang w:val="en-US" w:eastAsia="en-US"/>
        </w:rPr>
        <w:t xml:space="preserve"> and URLLC, </w:t>
      </w:r>
      <w:r w:rsidR="007D1C28" w:rsidRPr="0090039C">
        <w:t>Moderators (NTT DOCOMO, INC.)</w:t>
      </w:r>
      <w:bookmarkEnd w:id="34"/>
    </w:p>
    <w:p w14:paraId="2BB14CF4" w14:textId="77777777" w:rsidR="007D1C28" w:rsidRPr="0090039C" w:rsidRDefault="007D1C28" w:rsidP="004C41F1">
      <w:pPr>
        <w:pStyle w:val="Reference"/>
        <w:numPr>
          <w:ilvl w:val="0"/>
          <w:numId w:val="0"/>
        </w:numPr>
      </w:pPr>
    </w:p>
    <w:p w14:paraId="7361650A" w14:textId="0273DC7D" w:rsidR="00503CE9" w:rsidRPr="00CE0424" w:rsidRDefault="00503CE9" w:rsidP="00591F45">
      <w:pPr>
        <w:pStyle w:val="Reference"/>
        <w:numPr>
          <w:ilvl w:val="0"/>
          <w:numId w:val="0"/>
        </w:numPr>
        <w:ind w:left="567"/>
      </w:pPr>
    </w:p>
    <w:bookmarkEnd w:id="30"/>
    <w:bookmarkEnd w:id="31"/>
    <w:p w14:paraId="40E90D17" w14:textId="5D3A7F36" w:rsidR="005861F6" w:rsidRPr="00CE0424" w:rsidRDefault="005861F6" w:rsidP="005861F6">
      <w:pPr>
        <w:pStyle w:val="Heading1"/>
      </w:pPr>
      <w:r>
        <w:t>Annex. Existing FGs for Positioning: 13-1, 13-4x</w:t>
      </w:r>
    </w:p>
    <w:p w14:paraId="59FC58D7" w14:textId="77777777" w:rsidR="005861F6" w:rsidRDefault="005861F6" w:rsidP="00EC5194">
      <w:pPr>
        <w:rPr>
          <w:rFonts w:eastAsia="MS Mincho"/>
          <w:sz w:val="22"/>
        </w:rPr>
      </w:pPr>
    </w:p>
    <w:p w14:paraId="186B4D8F" w14:textId="4724FDFE" w:rsidR="005861F6" w:rsidRDefault="005861F6" w:rsidP="00EC5194">
      <w:pPr>
        <w:rPr>
          <w:rFonts w:eastAsia="MS Mincho"/>
          <w:sz w:val="22"/>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2271"/>
        <w:gridCol w:w="5690"/>
        <w:gridCol w:w="810"/>
      </w:tblGrid>
      <w:tr w:rsidR="005861F6" w:rsidRPr="006C6E0F" w14:paraId="03536DB0" w14:textId="77777777" w:rsidTr="005861F6">
        <w:trPr>
          <w:trHeight w:val="20"/>
        </w:trPr>
        <w:tc>
          <w:tcPr>
            <w:tcW w:w="1034" w:type="dxa"/>
          </w:tcPr>
          <w:p w14:paraId="4F16BE0F" w14:textId="77777777" w:rsidR="005861F6" w:rsidRPr="006C6E0F" w:rsidRDefault="005861F6" w:rsidP="00E04000">
            <w:pPr>
              <w:pStyle w:val="TAL"/>
            </w:pPr>
            <w:r w:rsidRPr="006C6E0F">
              <w:lastRenderedPageBreak/>
              <w:t>13-1</w:t>
            </w:r>
          </w:p>
        </w:tc>
        <w:tc>
          <w:tcPr>
            <w:tcW w:w="2271" w:type="dxa"/>
          </w:tcPr>
          <w:p w14:paraId="36862296" w14:textId="77777777" w:rsidR="005861F6" w:rsidRPr="006C6E0F" w:rsidRDefault="005861F6" w:rsidP="00E04000">
            <w:pPr>
              <w:pStyle w:val="TAL"/>
            </w:pPr>
            <w:r w:rsidRPr="006C6E0F">
              <w:t>Common DL PRS Processing Capability</w:t>
            </w:r>
          </w:p>
        </w:tc>
        <w:tc>
          <w:tcPr>
            <w:tcW w:w="5690" w:type="dxa"/>
          </w:tcPr>
          <w:p w14:paraId="52E9A5DD" w14:textId="77777777" w:rsidR="005861F6" w:rsidRPr="006C6E0F" w:rsidRDefault="005861F6" w:rsidP="00E04000">
            <w:pPr>
              <w:pStyle w:val="TAL"/>
            </w:pPr>
            <w:r w:rsidRPr="006C6E0F">
              <w:t>1.</w:t>
            </w:r>
            <w:r w:rsidRPr="006C6E0F">
              <w:rPr>
                <w:lang w:eastAsia="ko-KR"/>
              </w:rPr>
              <w:tab/>
            </w:r>
            <w:r w:rsidRPr="006C6E0F">
              <w:t>Maximum DL PRS bandwidth in MHz, which is supported and reported by UE.</w:t>
            </w:r>
          </w:p>
          <w:p w14:paraId="688CF32A" w14:textId="77777777" w:rsidR="005861F6" w:rsidRPr="006C6E0F" w:rsidRDefault="005861F6" w:rsidP="00E04000">
            <w:pPr>
              <w:pStyle w:val="TAL"/>
              <w:ind w:left="599" w:hanging="316"/>
            </w:pPr>
            <w:r w:rsidRPr="006C6E0F">
              <w:t>a)</w:t>
            </w:r>
            <w:r w:rsidRPr="006C6E0F">
              <w:tab/>
              <w:t>FR1 bands: {5, 10, 20, 40, 50, 80, 100}</w:t>
            </w:r>
          </w:p>
          <w:p w14:paraId="025970F9" w14:textId="77777777" w:rsidR="005861F6" w:rsidRPr="006C6E0F" w:rsidRDefault="005861F6" w:rsidP="00E04000">
            <w:pPr>
              <w:pStyle w:val="TAL"/>
              <w:ind w:left="599" w:hanging="316"/>
            </w:pPr>
            <w:r w:rsidRPr="006C6E0F">
              <w:t>b)</w:t>
            </w:r>
            <w:r w:rsidRPr="006C6E0F">
              <w:tab/>
              <w:t>FR2 bands: {50, 100, 200, 400}</w:t>
            </w:r>
          </w:p>
          <w:p w14:paraId="3C4FA459" w14:textId="77777777" w:rsidR="005861F6" w:rsidRPr="006C6E0F" w:rsidRDefault="005861F6" w:rsidP="00E04000">
            <w:pPr>
              <w:pStyle w:val="TAL"/>
            </w:pPr>
          </w:p>
          <w:p w14:paraId="5660C466" w14:textId="77777777" w:rsidR="005861F6" w:rsidRPr="006C6E0F" w:rsidRDefault="005861F6" w:rsidP="00E04000">
            <w:pPr>
              <w:pStyle w:val="TAL"/>
            </w:pPr>
            <w:r w:rsidRPr="006C6E0F">
              <w:t>2.</w:t>
            </w:r>
            <w:r w:rsidRPr="006C6E0F">
              <w:rPr>
                <w:lang w:eastAsia="ko-KR"/>
              </w:rPr>
              <w:tab/>
            </w:r>
            <w:r w:rsidRPr="006C6E0F">
              <w:t>DL PRS buffering capability: Type 1 or Type 2</w:t>
            </w:r>
          </w:p>
          <w:p w14:paraId="595B5445" w14:textId="77777777" w:rsidR="005861F6" w:rsidRPr="006C6E0F" w:rsidRDefault="005861F6" w:rsidP="00E04000">
            <w:pPr>
              <w:pStyle w:val="TAL"/>
              <w:ind w:left="599" w:hanging="316"/>
            </w:pPr>
            <w:r w:rsidRPr="006C6E0F">
              <w:t>a)</w:t>
            </w:r>
            <w:r w:rsidRPr="006C6E0F">
              <w:tab/>
              <w:t>Type 1 – sub-slot/symbol level buffering</w:t>
            </w:r>
          </w:p>
          <w:p w14:paraId="1FBCC564" w14:textId="77777777" w:rsidR="005861F6" w:rsidRPr="006C6E0F" w:rsidRDefault="005861F6" w:rsidP="00E04000">
            <w:pPr>
              <w:pStyle w:val="TAL"/>
              <w:ind w:left="599" w:hanging="316"/>
            </w:pPr>
            <w:r w:rsidRPr="006C6E0F">
              <w:t>b)</w:t>
            </w:r>
            <w:r w:rsidRPr="006C6E0F">
              <w:tab/>
              <w:t>Type 2 – slot level buffering</w:t>
            </w:r>
          </w:p>
          <w:p w14:paraId="27ED5D81" w14:textId="77777777" w:rsidR="005861F6" w:rsidRPr="006C6E0F" w:rsidRDefault="005861F6" w:rsidP="00E04000">
            <w:pPr>
              <w:pStyle w:val="TAL"/>
            </w:pPr>
          </w:p>
          <w:p w14:paraId="5828DEFA" w14:textId="77777777" w:rsidR="005861F6" w:rsidRPr="006C6E0F" w:rsidRDefault="005861F6" w:rsidP="00E04000">
            <w:pPr>
              <w:pStyle w:val="TAL"/>
            </w:pPr>
            <w:r w:rsidRPr="006C6E0F">
              <w:t>3.</w:t>
            </w:r>
            <w:r w:rsidRPr="006C6E0F">
              <w:rPr>
                <w:lang w:eastAsia="ko-KR"/>
              </w:rPr>
              <w:tab/>
            </w:r>
            <w:r w:rsidRPr="006C6E0F">
              <w:t xml:space="preserve">Duration of DL PRS symbols N in units of </w:t>
            </w:r>
            <w:proofErr w:type="spellStart"/>
            <w:r w:rsidRPr="006C6E0F">
              <w:t>ms</w:t>
            </w:r>
            <w:proofErr w:type="spellEnd"/>
            <w:r w:rsidRPr="006C6E0F">
              <w:t xml:space="preserve"> a UE can process every T </w:t>
            </w:r>
            <w:proofErr w:type="spellStart"/>
            <w:r w:rsidRPr="006C6E0F">
              <w:t>ms</w:t>
            </w:r>
            <w:proofErr w:type="spellEnd"/>
            <w:r w:rsidRPr="006C6E0F">
              <w:t xml:space="preserve"> assuming maximum DL PRS bandwidth in MHz, which is supported and reported by UE.</w:t>
            </w:r>
          </w:p>
          <w:p w14:paraId="32FEF0BE" w14:textId="77777777" w:rsidR="005861F6" w:rsidRPr="006C6E0F" w:rsidRDefault="005861F6" w:rsidP="00E04000">
            <w:pPr>
              <w:pStyle w:val="TAL"/>
              <w:ind w:left="599" w:hanging="316"/>
            </w:pPr>
            <w:r w:rsidRPr="006C6E0F">
              <w:t>a)</w:t>
            </w:r>
            <w:r w:rsidRPr="006C6E0F">
              <w:tab/>
              <w:t xml:space="preserve">T: {8, 16, 20, 30, 40, 80, 160, 320, 640, 1280} </w:t>
            </w:r>
            <w:proofErr w:type="spellStart"/>
            <w:r w:rsidRPr="006C6E0F">
              <w:t>ms</w:t>
            </w:r>
            <w:proofErr w:type="spellEnd"/>
          </w:p>
          <w:p w14:paraId="79666D48" w14:textId="77777777" w:rsidR="005861F6" w:rsidRPr="006C6E0F" w:rsidRDefault="005861F6" w:rsidP="00E04000">
            <w:pPr>
              <w:pStyle w:val="TAL"/>
              <w:ind w:left="599" w:hanging="316"/>
            </w:pPr>
            <w:r w:rsidRPr="006C6E0F">
              <w:t>b)</w:t>
            </w:r>
            <w:r w:rsidRPr="006C6E0F">
              <w:tab/>
              <w:t xml:space="preserve">N: {0.125, 0.25, 0.5, 1, 2, 4, 6, 8, 12, 16, 20, 25, 30, 32, 35, 40, 45, 50} </w:t>
            </w:r>
            <w:proofErr w:type="spellStart"/>
            <w:r w:rsidRPr="006C6E0F">
              <w:t>ms</w:t>
            </w:r>
            <w:proofErr w:type="spellEnd"/>
          </w:p>
          <w:p w14:paraId="697B4F33" w14:textId="77777777" w:rsidR="005861F6" w:rsidRPr="006C6E0F" w:rsidRDefault="005861F6" w:rsidP="00E04000">
            <w:pPr>
              <w:pStyle w:val="TAL"/>
            </w:pPr>
          </w:p>
          <w:p w14:paraId="3A9A5508" w14:textId="77777777" w:rsidR="005861F6" w:rsidRPr="006C6E0F" w:rsidRDefault="005861F6" w:rsidP="00E04000">
            <w:pPr>
              <w:pStyle w:val="TAL"/>
            </w:pPr>
            <w:r w:rsidRPr="006C6E0F">
              <w:t>4.</w:t>
            </w:r>
            <w:r w:rsidRPr="006C6E0F">
              <w:rPr>
                <w:lang w:eastAsia="ko-KR"/>
              </w:rPr>
              <w:tab/>
            </w:r>
            <w:r w:rsidRPr="006C6E0F">
              <w:t>Max number of DL PRS resources that UE can process in a slot under it</w:t>
            </w:r>
          </w:p>
          <w:p w14:paraId="4DBCF743" w14:textId="77777777" w:rsidR="005861F6" w:rsidRPr="006C6E0F" w:rsidRDefault="005861F6" w:rsidP="00E04000">
            <w:pPr>
              <w:pStyle w:val="TAL"/>
              <w:ind w:left="599" w:hanging="283"/>
            </w:pPr>
            <w:r w:rsidRPr="006C6E0F">
              <w:t>a)</w:t>
            </w:r>
            <w:r w:rsidRPr="006C6E0F">
              <w:tab/>
              <w:t>FR1 bands: {1, 2, 4, 6, 8, 12, 16, 24, 32, 48, 64} for each SCS: 15kHz, 30kHz, 60kHz</w:t>
            </w:r>
          </w:p>
          <w:p w14:paraId="656699A2" w14:textId="77777777" w:rsidR="005861F6" w:rsidRPr="006C6E0F" w:rsidRDefault="005861F6" w:rsidP="00E04000">
            <w:pPr>
              <w:pStyle w:val="TAL"/>
              <w:ind w:left="599" w:hanging="283"/>
            </w:pPr>
            <w:r w:rsidRPr="006C6E0F">
              <w:t>b)</w:t>
            </w:r>
            <w:r w:rsidRPr="006C6E0F">
              <w:tab/>
              <w:t>FR2 bands: {1, 2, 4, 6, 8, 12, 16, 24, 32, 48, 64} for each SCS: 60kHz, 120kHz</w:t>
            </w:r>
          </w:p>
          <w:p w14:paraId="2C20C2F4" w14:textId="77777777" w:rsidR="005861F6" w:rsidRPr="006C6E0F" w:rsidRDefault="005861F6" w:rsidP="00E04000">
            <w:pPr>
              <w:pStyle w:val="TAL"/>
            </w:pPr>
          </w:p>
          <w:p w14:paraId="7FE3E214" w14:textId="77777777" w:rsidR="005861F6" w:rsidRPr="006C6E0F" w:rsidRDefault="005861F6" w:rsidP="00E04000">
            <w:pPr>
              <w:pStyle w:val="TAL"/>
            </w:pPr>
            <w:r w:rsidRPr="006C6E0F">
              <w:t>Note: The above parameters are reported assuming a configured measurement gap and a maximum ratio of measurement gap length (MGL) / measurement gap repetition period (MGRP) of no more than 30%.</w:t>
            </w:r>
          </w:p>
          <w:p w14:paraId="6465187E" w14:textId="77777777" w:rsidR="005861F6" w:rsidRPr="006C6E0F" w:rsidRDefault="005861F6" w:rsidP="00E04000">
            <w:pPr>
              <w:pStyle w:val="TAL"/>
            </w:pPr>
          </w:p>
        </w:tc>
        <w:tc>
          <w:tcPr>
            <w:tcW w:w="810" w:type="dxa"/>
          </w:tcPr>
          <w:p w14:paraId="15698419" w14:textId="77777777" w:rsidR="005861F6" w:rsidRPr="006C6E0F" w:rsidRDefault="005861F6" w:rsidP="00E04000">
            <w:pPr>
              <w:pStyle w:val="TAL"/>
            </w:pPr>
          </w:p>
        </w:tc>
      </w:tr>
      <w:tr w:rsidR="005861F6" w:rsidRPr="006C6E0F" w14:paraId="6FA5FACC" w14:textId="77777777" w:rsidTr="005861F6">
        <w:trPr>
          <w:trHeight w:val="20"/>
        </w:trPr>
        <w:tc>
          <w:tcPr>
            <w:tcW w:w="1034" w:type="dxa"/>
            <w:tcBorders>
              <w:top w:val="single" w:sz="4" w:space="0" w:color="auto"/>
              <w:left w:val="single" w:sz="4" w:space="0" w:color="auto"/>
              <w:bottom w:val="single" w:sz="4" w:space="0" w:color="auto"/>
              <w:right w:val="single" w:sz="4" w:space="0" w:color="auto"/>
            </w:tcBorders>
          </w:tcPr>
          <w:p w14:paraId="71C12063" w14:textId="77777777" w:rsidR="005861F6" w:rsidRPr="006C6E0F" w:rsidRDefault="005861F6" w:rsidP="00E04000">
            <w:pPr>
              <w:pStyle w:val="TAL"/>
            </w:pPr>
            <w:r w:rsidRPr="006C6E0F">
              <w:t>13-4</w:t>
            </w:r>
          </w:p>
        </w:tc>
        <w:tc>
          <w:tcPr>
            <w:tcW w:w="2271" w:type="dxa"/>
            <w:tcBorders>
              <w:top w:val="single" w:sz="4" w:space="0" w:color="auto"/>
              <w:left w:val="single" w:sz="4" w:space="0" w:color="auto"/>
              <w:bottom w:val="single" w:sz="4" w:space="0" w:color="auto"/>
              <w:right w:val="single" w:sz="4" w:space="0" w:color="auto"/>
            </w:tcBorders>
          </w:tcPr>
          <w:p w14:paraId="190475DF" w14:textId="77777777" w:rsidR="005861F6" w:rsidRPr="006C6E0F" w:rsidRDefault="005861F6" w:rsidP="00E04000">
            <w:pPr>
              <w:pStyle w:val="TAL"/>
            </w:pPr>
            <w:r w:rsidRPr="006C6E0F">
              <w:t>DL PRS Resources for Multi-RTT</w:t>
            </w:r>
          </w:p>
        </w:tc>
        <w:tc>
          <w:tcPr>
            <w:tcW w:w="5690" w:type="dxa"/>
            <w:tcBorders>
              <w:top w:val="single" w:sz="4" w:space="0" w:color="auto"/>
              <w:left w:val="single" w:sz="4" w:space="0" w:color="auto"/>
              <w:bottom w:val="single" w:sz="4" w:space="0" w:color="auto"/>
              <w:right w:val="single" w:sz="4" w:space="0" w:color="auto"/>
            </w:tcBorders>
          </w:tcPr>
          <w:p w14:paraId="5B2AA1E2" w14:textId="77777777" w:rsidR="005861F6" w:rsidRPr="005861F6" w:rsidRDefault="005861F6" w:rsidP="00E04000">
            <w:pPr>
              <w:pStyle w:val="TAL"/>
            </w:pPr>
            <w:r w:rsidRPr="005861F6">
              <w:t>1. Max number of DL PRS Resource Sets per TRP per frequency layer supported by UE.</w:t>
            </w:r>
          </w:p>
          <w:p w14:paraId="0D914BF2" w14:textId="77777777" w:rsidR="005861F6" w:rsidRPr="005861F6" w:rsidRDefault="005861F6" w:rsidP="00E04000">
            <w:pPr>
              <w:pStyle w:val="TAL"/>
            </w:pPr>
            <w:r w:rsidRPr="005861F6">
              <w:t>Values = {1, 2}</w:t>
            </w:r>
          </w:p>
          <w:p w14:paraId="1A1B4B86" w14:textId="77777777" w:rsidR="005861F6" w:rsidRPr="005861F6" w:rsidRDefault="005861F6" w:rsidP="00E04000">
            <w:pPr>
              <w:pStyle w:val="TAL"/>
            </w:pPr>
          </w:p>
          <w:p w14:paraId="242D0788" w14:textId="77777777" w:rsidR="005861F6" w:rsidRPr="005861F6" w:rsidRDefault="005861F6" w:rsidP="00E04000">
            <w:pPr>
              <w:pStyle w:val="TAL"/>
            </w:pPr>
            <w:r w:rsidRPr="005861F6">
              <w:t>2. Max number of TRPs across all positioning frequency layers per UE.</w:t>
            </w:r>
          </w:p>
          <w:p w14:paraId="6E86BA8E" w14:textId="77777777" w:rsidR="005861F6" w:rsidRPr="005861F6" w:rsidRDefault="005861F6" w:rsidP="00E04000">
            <w:pPr>
              <w:pStyle w:val="TAL"/>
            </w:pPr>
            <w:r w:rsidRPr="005861F6">
              <w:t>Values = {4, 6, 12, 16, 24, 32, 64, 128, 256}</w:t>
            </w:r>
          </w:p>
          <w:p w14:paraId="41AFC4BC" w14:textId="77777777" w:rsidR="005861F6" w:rsidRPr="005861F6" w:rsidRDefault="005861F6" w:rsidP="00E04000">
            <w:pPr>
              <w:pStyle w:val="TAL"/>
            </w:pPr>
          </w:p>
          <w:p w14:paraId="0F1B308C" w14:textId="77777777" w:rsidR="005861F6" w:rsidRPr="005861F6" w:rsidRDefault="005861F6" w:rsidP="00E04000">
            <w:pPr>
              <w:pStyle w:val="TAL"/>
            </w:pPr>
            <w:r w:rsidRPr="005861F6">
              <w:t>3. Max number of positioning frequency layers UE supports</w:t>
            </w:r>
          </w:p>
          <w:p w14:paraId="212232F1" w14:textId="77777777" w:rsidR="005861F6" w:rsidRPr="005861F6" w:rsidRDefault="005861F6" w:rsidP="00E04000">
            <w:pPr>
              <w:pStyle w:val="TAL"/>
            </w:pPr>
            <w:r w:rsidRPr="006C6E0F">
              <w:t>Values = {1, 2, 3, 4}</w:t>
            </w:r>
          </w:p>
        </w:tc>
        <w:tc>
          <w:tcPr>
            <w:tcW w:w="810" w:type="dxa"/>
            <w:tcBorders>
              <w:top w:val="single" w:sz="4" w:space="0" w:color="auto"/>
              <w:left w:val="single" w:sz="4" w:space="0" w:color="auto"/>
              <w:bottom w:val="single" w:sz="4" w:space="0" w:color="auto"/>
              <w:right w:val="single" w:sz="4" w:space="0" w:color="auto"/>
            </w:tcBorders>
          </w:tcPr>
          <w:p w14:paraId="3809175A" w14:textId="77777777" w:rsidR="005861F6" w:rsidRPr="006C6E0F" w:rsidRDefault="005861F6" w:rsidP="00E04000">
            <w:pPr>
              <w:pStyle w:val="TAL"/>
            </w:pPr>
            <w:r w:rsidRPr="006C6E0F">
              <w:t>13-1</w:t>
            </w:r>
          </w:p>
        </w:tc>
      </w:tr>
      <w:tr w:rsidR="005861F6" w:rsidRPr="006C6E0F" w14:paraId="2B6EBCFD" w14:textId="77777777" w:rsidTr="005861F6">
        <w:trPr>
          <w:trHeight w:val="20"/>
        </w:trPr>
        <w:tc>
          <w:tcPr>
            <w:tcW w:w="1034" w:type="dxa"/>
            <w:tcBorders>
              <w:top w:val="single" w:sz="4" w:space="0" w:color="auto"/>
              <w:left w:val="single" w:sz="4" w:space="0" w:color="auto"/>
              <w:bottom w:val="single" w:sz="4" w:space="0" w:color="auto"/>
              <w:right w:val="single" w:sz="4" w:space="0" w:color="auto"/>
            </w:tcBorders>
          </w:tcPr>
          <w:p w14:paraId="27BEC25E" w14:textId="77777777" w:rsidR="005861F6" w:rsidRPr="006C6E0F" w:rsidRDefault="005861F6" w:rsidP="00E04000">
            <w:pPr>
              <w:pStyle w:val="TAL"/>
            </w:pPr>
            <w:r w:rsidRPr="006C6E0F">
              <w:t>13-4a</w:t>
            </w:r>
          </w:p>
        </w:tc>
        <w:tc>
          <w:tcPr>
            <w:tcW w:w="2271" w:type="dxa"/>
            <w:tcBorders>
              <w:top w:val="single" w:sz="4" w:space="0" w:color="auto"/>
              <w:left w:val="single" w:sz="4" w:space="0" w:color="auto"/>
              <w:bottom w:val="single" w:sz="4" w:space="0" w:color="auto"/>
              <w:right w:val="single" w:sz="4" w:space="0" w:color="auto"/>
            </w:tcBorders>
          </w:tcPr>
          <w:p w14:paraId="5C33523C" w14:textId="77777777" w:rsidR="005861F6" w:rsidRPr="006C6E0F" w:rsidRDefault="005861F6" w:rsidP="00E04000">
            <w:pPr>
              <w:pStyle w:val="TAL"/>
            </w:pPr>
            <w:r w:rsidRPr="006C6E0F">
              <w:t>DL PRS Resources for Multi-RTT on a band</w:t>
            </w:r>
          </w:p>
        </w:tc>
        <w:tc>
          <w:tcPr>
            <w:tcW w:w="5690" w:type="dxa"/>
            <w:tcBorders>
              <w:top w:val="single" w:sz="4" w:space="0" w:color="auto"/>
              <w:left w:val="single" w:sz="4" w:space="0" w:color="auto"/>
              <w:bottom w:val="single" w:sz="4" w:space="0" w:color="auto"/>
              <w:right w:val="single" w:sz="4" w:space="0" w:color="auto"/>
            </w:tcBorders>
          </w:tcPr>
          <w:p w14:paraId="37E6A994" w14:textId="77777777" w:rsidR="005861F6" w:rsidRPr="005861F6" w:rsidRDefault="005861F6" w:rsidP="00E04000">
            <w:pPr>
              <w:pStyle w:val="TAL"/>
            </w:pPr>
            <w:r w:rsidRPr="005861F6">
              <w:t>1. Max number of DL PRS Resources per DL PRS Resource Set</w:t>
            </w:r>
          </w:p>
          <w:p w14:paraId="27046E2E" w14:textId="77777777" w:rsidR="005861F6" w:rsidRPr="005861F6" w:rsidRDefault="005861F6" w:rsidP="00E04000">
            <w:pPr>
              <w:pStyle w:val="TAL"/>
            </w:pPr>
            <w:r w:rsidRPr="005861F6">
              <w:t>Values = {1, 2, 4, 8, 16, 32, 64}</w:t>
            </w:r>
          </w:p>
          <w:p w14:paraId="7003A543" w14:textId="77777777" w:rsidR="005861F6" w:rsidRPr="005861F6" w:rsidRDefault="005861F6" w:rsidP="00E04000">
            <w:pPr>
              <w:pStyle w:val="TAL"/>
            </w:pPr>
            <w:r w:rsidRPr="005861F6">
              <w:t>Note: 16, 32, 64 are only applicable to FR2 bands</w:t>
            </w:r>
          </w:p>
          <w:p w14:paraId="56E7F147" w14:textId="77777777" w:rsidR="005861F6" w:rsidRPr="005861F6" w:rsidRDefault="005861F6" w:rsidP="00E04000">
            <w:pPr>
              <w:pStyle w:val="TAL"/>
            </w:pPr>
          </w:p>
          <w:p w14:paraId="1B20070A" w14:textId="77777777" w:rsidR="005861F6" w:rsidRPr="005861F6" w:rsidRDefault="005861F6" w:rsidP="00E04000">
            <w:pPr>
              <w:pStyle w:val="TAL"/>
            </w:pPr>
            <w:r w:rsidRPr="005861F6">
              <w:t>2. Max number of DL PRS Resources per positioning frequency layer.</w:t>
            </w:r>
          </w:p>
          <w:p w14:paraId="36BAC0BB" w14:textId="77777777" w:rsidR="005861F6" w:rsidRPr="005861F6" w:rsidRDefault="005861F6" w:rsidP="00E04000">
            <w:pPr>
              <w:pStyle w:val="TAL"/>
            </w:pPr>
            <w:r w:rsidRPr="005861F6">
              <w:t>Values = {6, 24, 32, 64, 96, 128, 256, 512, 1024}</w:t>
            </w:r>
          </w:p>
          <w:p w14:paraId="3580A551" w14:textId="77777777" w:rsidR="005861F6" w:rsidRPr="005861F6" w:rsidRDefault="005861F6" w:rsidP="00E04000">
            <w:pPr>
              <w:pStyle w:val="TAL"/>
            </w:pPr>
            <w:r w:rsidRPr="006C6E0F">
              <w:t>Note: 6 is only applicable to FR1 bands</w:t>
            </w:r>
          </w:p>
        </w:tc>
        <w:tc>
          <w:tcPr>
            <w:tcW w:w="810" w:type="dxa"/>
            <w:tcBorders>
              <w:top w:val="single" w:sz="4" w:space="0" w:color="auto"/>
              <w:left w:val="single" w:sz="4" w:space="0" w:color="auto"/>
              <w:bottom w:val="single" w:sz="4" w:space="0" w:color="auto"/>
              <w:right w:val="single" w:sz="4" w:space="0" w:color="auto"/>
            </w:tcBorders>
          </w:tcPr>
          <w:p w14:paraId="2352F709" w14:textId="77777777" w:rsidR="005861F6" w:rsidRPr="006C6E0F" w:rsidRDefault="005861F6" w:rsidP="00E04000">
            <w:pPr>
              <w:pStyle w:val="TAL"/>
            </w:pPr>
            <w:r w:rsidRPr="006C6E0F">
              <w:t>13-1</w:t>
            </w:r>
          </w:p>
        </w:tc>
      </w:tr>
      <w:tr w:rsidR="005861F6" w:rsidRPr="006C6E0F" w14:paraId="6A0131AD" w14:textId="77777777" w:rsidTr="005861F6">
        <w:trPr>
          <w:trHeight w:val="20"/>
        </w:trPr>
        <w:tc>
          <w:tcPr>
            <w:tcW w:w="1034" w:type="dxa"/>
            <w:tcBorders>
              <w:top w:val="single" w:sz="4" w:space="0" w:color="auto"/>
              <w:left w:val="single" w:sz="4" w:space="0" w:color="auto"/>
              <w:bottom w:val="single" w:sz="4" w:space="0" w:color="auto"/>
              <w:right w:val="single" w:sz="4" w:space="0" w:color="auto"/>
            </w:tcBorders>
          </w:tcPr>
          <w:p w14:paraId="22757F81" w14:textId="77777777" w:rsidR="005861F6" w:rsidRPr="006C6E0F" w:rsidRDefault="005861F6" w:rsidP="00E04000">
            <w:pPr>
              <w:pStyle w:val="TAL"/>
            </w:pPr>
            <w:r w:rsidRPr="006C6E0F">
              <w:t>13-4b</w:t>
            </w:r>
          </w:p>
        </w:tc>
        <w:tc>
          <w:tcPr>
            <w:tcW w:w="2271" w:type="dxa"/>
            <w:tcBorders>
              <w:top w:val="single" w:sz="4" w:space="0" w:color="auto"/>
              <w:left w:val="single" w:sz="4" w:space="0" w:color="auto"/>
              <w:bottom w:val="single" w:sz="4" w:space="0" w:color="auto"/>
              <w:right w:val="single" w:sz="4" w:space="0" w:color="auto"/>
            </w:tcBorders>
          </w:tcPr>
          <w:p w14:paraId="10A93E73" w14:textId="77777777" w:rsidR="005861F6" w:rsidRPr="006C6E0F" w:rsidRDefault="005861F6" w:rsidP="00E04000">
            <w:pPr>
              <w:pStyle w:val="TAL"/>
            </w:pPr>
            <w:r w:rsidRPr="006C6E0F">
              <w:t>DL PRS Resources for Multi-RTT on a band combination</w:t>
            </w:r>
          </w:p>
        </w:tc>
        <w:tc>
          <w:tcPr>
            <w:tcW w:w="5690" w:type="dxa"/>
            <w:tcBorders>
              <w:top w:val="single" w:sz="4" w:space="0" w:color="auto"/>
              <w:left w:val="single" w:sz="4" w:space="0" w:color="auto"/>
              <w:bottom w:val="single" w:sz="4" w:space="0" w:color="auto"/>
              <w:right w:val="single" w:sz="4" w:space="0" w:color="auto"/>
            </w:tcBorders>
          </w:tcPr>
          <w:p w14:paraId="47CD794D" w14:textId="77777777" w:rsidR="005861F6" w:rsidRPr="005861F6" w:rsidRDefault="005861F6" w:rsidP="00E04000">
            <w:pPr>
              <w:pStyle w:val="TAL"/>
            </w:pPr>
            <w:r w:rsidRPr="005861F6">
              <w:t>1. Max number of DL PRS Resources supported by UE across all frequency layers, TRPs and DL PRS Resource Sets for FR1-only.</w:t>
            </w:r>
          </w:p>
          <w:p w14:paraId="30B3494E" w14:textId="77777777" w:rsidR="005861F6" w:rsidRPr="005861F6" w:rsidRDefault="005861F6" w:rsidP="00E04000">
            <w:pPr>
              <w:pStyle w:val="TAL"/>
            </w:pPr>
            <w:r w:rsidRPr="005861F6">
              <w:t>Values = {6, 24, 64, 128, 192, 256, 512, 1024, 2048}</w:t>
            </w:r>
          </w:p>
          <w:p w14:paraId="690FF001" w14:textId="77777777" w:rsidR="005861F6" w:rsidRPr="005861F6" w:rsidRDefault="005861F6" w:rsidP="00E04000">
            <w:pPr>
              <w:pStyle w:val="TAL"/>
            </w:pPr>
            <w:r w:rsidRPr="005861F6">
              <w:t>Note this is reported for FR1 only BC.</w:t>
            </w:r>
          </w:p>
          <w:p w14:paraId="237738D2" w14:textId="77777777" w:rsidR="005861F6" w:rsidRPr="005861F6" w:rsidRDefault="005861F6" w:rsidP="00E04000">
            <w:pPr>
              <w:pStyle w:val="TAL"/>
            </w:pPr>
          </w:p>
          <w:p w14:paraId="2FCB9DB1" w14:textId="77777777" w:rsidR="005861F6" w:rsidRPr="005861F6" w:rsidRDefault="005861F6" w:rsidP="00E04000">
            <w:pPr>
              <w:pStyle w:val="TAL"/>
            </w:pPr>
            <w:r w:rsidRPr="005861F6">
              <w:t>2. Max number of DL PRS Resources supported by UE across all frequency layers, TRPs and DL PRS Resource Sets for FR2-only.</w:t>
            </w:r>
          </w:p>
          <w:p w14:paraId="316D5B21" w14:textId="77777777" w:rsidR="005861F6" w:rsidRPr="005861F6" w:rsidRDefault="005861F6" w:rsidP="00E04000">
            <w:pPr>
              <w:pStyle w:val="TAL"/>
            </w:pPr>
            <w:r w:rsidRPr="005861F6">
              <w:t>Values = {24, 64, 96, 128, 192, 256, 512, 1024, 2048}</w:t>
            </w:r>
          </w:p>
          <w:p w14:paraId="4B4DD3EF" w14:textId="77777777" w:rsidR="005861F6" w:rsidRPr="005861F6" w:rsidRDefault="005861F6" w:rsidP="00E04000">
            <w:pPr>
              <w:pStyle w:val="TAL"/>
            </w:pPr>
            <w:r w:rsidRPr="005861F6">
              <w:t>Note this is reported for FR2 only BC</w:t>
            </w:r>
          </w:p>
          <w:p w14:paraId="03C85497" w14:textId="77777777" w:rsidR="005861F6" w:rsidRPr="005861F6" w:rsidRDefault="005861F6" w:rsidP="00E04000">
            <w:pPr>
              <w:pStyle w:val="TAL"/>
            </w:pPr>
          </w:p>
          <w:p w14:paraId="3761D363" w14:textId="77777777" w:rsidR="005861F6" w:rsidRPr="005861F6" w:rsidRDefault="005861F6" w:rsidP="00E04000">
            <w:pPr>
              <w:pStyle w:val="TAL"/>
            </w:pPr>
            <w:r w:rsidRPr="005861F6">
              <w:t>3. Max number of DL PRS Resources supported by UE across all frequency layers, TRPs and DL PRS Resource Sets for FR1 in FR1/FR2 mixed operation.</w:t>
            </w:r>
          </w:p>
          <w:p w14:paraId="3EF74F16" w14:textId="77777777" w:rsidR="005861F6" w:rsidRPr="005861F6" w:rsidRDefault="005861F6" w:rsidP="00E04000">
            <w:pPr>
              <w:pStyle w:val="TAL"/>
            </w:pPr>
            <w:r w:rsidRPr="005861F6">
              <w:t>Values = {6, 24, 64, 96, 128, 192, 256, 512, 1024, 2048}</w:t>
            </w:r>
          </w:p>
          <w:p w14:paraId="30A1DBD4" w14:textId="77777777" w:rsidR="005861F6" w:rsidRPr="005861F6" w:rsidRDefault="005861F6" w:rsidP="00E04000">
            <w:pPr>
              <w:pStyle w:val="TAL"/>
            </w:pPr>
            <w:r w:rsidRPr="005861F6">
              <w:t>Note this is reported for BC containing FR1 and FR2 bands</w:t>
            </w:r>
          </w:p>
          <w:p w14:paraId="4C7B2FE1" w14:textId="77777777" w:rsidR="005861F6" w:rsidRPr="005861F6" w:rsidRDefault="005861F6" w:rsidP="00E04000">
            <w:pPr>
              <w:pStyle w:val="TAL"/>
            </w:pPr>
          </w:p>
          <w:p w14:paraId="2CE898BD" w14:textId="77777777" w:rsidR="005861F6" w:rsidRPr="005861F6" w:rsidRDefault="005861F6" w:rsidP="00E04000">
            <w:pPr>
              <w:pStyle w:val="TAL"/>
            </w:pPr>
            <w:r w:rsidRPr="005861F6">
              <w:t>4. Max number of DL PRS Resources supported by UE across all frequency layers, TRPs and DL PRS Resource Sets for FR2 in FR1/FR2 mixed operation.</w:t>
            </w:r>
          </w:p>
          <w:p w14:paraId="723867DE" w14:textId="77777777" w:rsidR="005861F6" w:rsidRPr="005861F6" w:rsidRDefault="005861F6" w:rsidP="00E04000">
            <w:pPr>
              <w:pStyle w:val="TAL"/>
            </w:pPr>
            <w:r w:rsidRPr="005861F6">
              <w:t>Values = {24, 64, 96, 128, 192, 256, 512, 1024, 2048}</w:t>
            </w:r>
          </w:p>
          <w:p w14:paraId="78F5AE59" w14:textId="77777777" w:rsidR="005861F6" w:rsidRPr="005861F6" w:rsidRDefault="005861F6" w:rsidP="00E04000">
            <w:pPr>
              <w:pStyle w:val="TAL"/>
            </w:pPr>
            <w:r w:rsidRPr="006C6E0F">
              <w:t>Note this is reported for BC containing FR1 and FR2 bands</w:t>
            </w:r>
          </w:p>
        </w:tc>
        <w:tc>
          <w:tcPr>
            <w:tcW w:w="810" w:type="dxa"/>
            <w:tcBorders>
              <w:top w:val="single" w:sz="4" w:space="0" w:color="auto"/>
              <w:left w:val="single" w:sz="4" w:space="0" w:color="auto"/>
              <w:bottom w:val="single" w:sz="4" w:space="0" w:color="auto"/>
              <w:right w:val="single" w:sz="4" w:space="0" w:color="auto"/>
            </w:tcBorders>
          </w:tcPr>
          <w:p w14:paraId="042E9288" w14:textId="77777777" w:rsidR="005861F6" w:rsidRPr="006C6E0F" w:rsidRDefault="005861F6" w:rsidP="00E04000">
            <w:pPr>
              <w:pStyle w:val="TAL"/>
            </w:pPr>
            <w:r w:rsidRPr="006C6E0F">
              <w:t>13-1</w:t>
            </w:r>
          </w:p>
        </w:tc>
      </w:tr>
    </w:tbl>
    <w:p w14:paraId="607016BB" w14:textId="77777777" w:rsidR="005861F6" w:rsidRDefault="005861F6" w:rsidP="00EC5194">
      <w:pPr>
        <w:rPr>
          <w:rFonts w:eastAsia="MS Mincho"/>
          <w:sz w:val="22"/>
        </w:rPr>
      </w:pPr>
    </w:p>
    <w:sectPr w:rsidR="005861F6" w:rsidSect="00A43BD4">
      <w:headerReference w:type="even" r:id="rId12"/>
      <w:footerReference w:type="default" r:id="rId13"/>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4B3A" w14:textId="77777777" w:rsidR="00933252" w:rsidRDefault="00933252">
      <w:r>
        <w:separator/>
      </w:r>
    </w:p>
  </w:endnote>
  <w:endnote w:type="continuationSeparator" w:id="0">
    <w:p w14:paraId="5CFE96D7" w14:textId="77777777" w:rsidR="00933252" w:rsidRDefault="00933252">
      <w:r>
        <w:continuationSeparator/>
      </w:r>
    </w:p>
  </w:endnote>
  <w:endnote w:type="continuationNotice" w:id="1">
    <w:p w14:paraId="0F5E9594" w14:textId="77777777" w:rsidR="00933252" w:rsidRDefault="00933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7777777" w:rsidR="00CD0FEC" w:rsidRDefault="00CD0F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BD7CF" w14:textId="77777777" w:rsidR="00933252" w:rsidRDefault="00933252">
      <w:r>
        <w:separator/>
      </w:r>
    </w:p>
  </w:footnote>
  <w:footnote w:type="continuationSeparator" w:id="0">
    <w:p w14:paraId="1372C606" w14:textId="77777777" w:rsidR="00933252" w:rsidRDefault="00933252">
      <w:r>
        <w:continuationSeparator/>
      </w:r>
    </w:p>
  </w:footnote>
  <w:footnote w:type="continuationNotice" w:id="1">
    <w:p w14:paraId="307F598A" w14:textId="77777777" w:rsidR="00933252" w:rsidRDefault="00933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4A" w14:textId="77777777" w:rsidR="00CD0FEC" w:rsidRDefault="00CD0F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25F3766"/>
    <w:multiLevelType w:val="hybridMultilevel"/>
    <w:tmpl w:val="3992F19E"/>
    <w:lvl w:ilvl="0" w:tplc="D026E01C">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B0630A"/>
    <w:multiLevelType w:val="multilevel"/>
    <w:tmpl w:val="D3EEDD8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538"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59D7783"/>
    <w:multiLevelType w:val="hybridMultilevel"/>
    <w:tmpl w:val="4C9EAE0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8D55B30"/>
    <w:multiLevelType w:val="hybridMultilevel"/>
    <w:tmpl w:val="2E223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0"/>
  </w:num>
  <w:num w:numId="4">
    <w:abstractNumId w:val="12"/>
  </w:num>
  <w:num w:numId="5">
    <w:abstractNumId w:val="13"/>
  </w:num>
  <w:num w:numId="6">
    <w:abstractNumId w:val="14"/>
  </w:num>
  <w:num w:numId="7">
    <w:abstractNumId w:val="4"/>
  </w:num>
  <w:num w:numId="8">
    <w:abstractNumId w:val="5"/>
  </w:num>
  <w:num w:numId="9">
    <w:abstractNumId w:val="3"/>
  </w:num>
  <w:num w:numId="10">
    <w:abstractNumId w:val="18"/>
  </w:num>
  <w:num w:numId="11">
    <w:abstractNumId w:val="6"/>
  </w:num>
  <w:num w:numId="12">
    <w:abstractNumId w:val="17"/>
  </w:num>
  <w:num w:numId="13">
    <w:abstractNumId w:val="9"/>
  </w:num>
  <w:num w:numId="14">
    <w:abstractNumId w:val="20"/>
  </w:num>
  <w:num w:numId="15">
    <w:abstractNumId w:val="16"/>
  </w:num>
  <w:num w:numId="16">
    <w:abstractNumId w:val="10"/>
  </w:num>
  <w:num w:numId="17">
    <w:abstractNumId w:val="19"/>
  </w:num>
  <w:num w:numId="18">
    <w:abstractNumId w:val="15"/>
  </w:num>
  <w:num w:numId="19">
    <w:abstractNumId w:val="1"/>
  </w:num>
  <w:num w:numId="20">
    <w:abstractNumId w:val="9"/>
  </w:num>
  <w:num w:numId="21">
    <w:abstractNumId w:val="2"/>
  </w:num>
  <w:num w:numId="22">
    <w:abstractNumId w:val="8"/>
  </w:num>
  <w:num w:numId="2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151"/>
    <w:rsid w:val="00002A37"/>
    <w:rsid w:val="00003DF4"/>
    <w:rsid w:val="0000564C"/>
    <w:rsid w:val="00006446"/>
    <w:rsid w:val="00006896"/>
    <w:rsid w:val="00007A97"/>
    <w:rsid w:val="00007CDC"/>
    <w:rsid w:val="000106AA"/>
    <w:rsid w:val="00011B28"/>
    <w:rsid w:val="00015D15"/>
    <w:rsid w:val="0001712D"/>
    <w:rsid w:val="000215B7"/>
    <w:rsid w:val="0002564D"/>
    <w:rsid w:val="00025ECA"/>
    <w:rsid w:val="0002615B"/>
    <w:rsid w:val="000325B8"/>
    <w:rsid w:val="00032CCA"/>
    <w:rsid w:val="00034C15"/>
    <w:rsid w:val="00035470"/>
    <w:rsid w:val="00036BA1"/>
    <w:rsid w:val="00037A83"/>
    <w:rsid w:val="000400E8"/>
    <w:rsid w:val="000422E2"/>
    <w:rsid w:val="00042F22"/>
    <w:rsid w:val="00044092"/>
    <w:rsid w:val="000444EF"/>
    <w:rsid w:val="00044FA0"/>
    <w:rsid w:val="00052A07"/>
    <w:rsid w:val="000534E3"/>
    <w:rsid w:val="00054137"/>
    <w:rsid w:val="0005606A"/>
    <w:rsid w:val="00056588"/>
    <w:rsid w:val="00057117"/>
    <w:rsid w:val="000611A6"/>
    <w:rsid w:val="000616AD"/>
    <w:rsid w:val="000616E7"/>
    <w:rsid w:val="0006487E"/>
    <w:rsid w:val="00064D4A"/>
    <w:rsid w:val="0006523B"/>
    <w:rsid w:val="00065E1A"/>
    <w:rsid w:val="00070DD7"/>
    <w:rsid w:val="00074894"/>
    <w:rsid w:val="00076D15"/>
    <w:rsid w:val="00076E4F"/>
    <w:rsid w:val="00077E5F"/>
    <w:rsid w:val="0008036A"/>
    <w:rsid w:val="00081AE6"/>
    <w:rsid w:val="000855EB"/>
    <w:rsid w:val="00085B52"/>
    <w:rsid w:val="000866F2"/>
    <w:rsid w:val="0009009F"/>
    <w:rsid w:val="00091557"/>
    <w:rsid w:val="000924C1"/>
    <w:rsid w:val="000924F0"/>
    <w:rsid w:val="00093474"/>
    <w:rsid w:val="0009510F"/>
    <w:rsid w:val="00096936"/>
    <w:rsid w:val="000A19BA"/>
    <w:rsid w:val="000A1B7B"/>
    <w:rsid w:val="000A56F2"/>
    <w:rsid w:val="000A7551"/>
    <w:rsid w:val="000B0888"/>
    <w:rsid w:val="000B0927"/>
    <w:rsid w:val="000B0B37"/>
    <w:rsid w:val="000B2719"/>
    <w:rsid w:val="000B3A8F"/>
    <w:rsid w:val="000B4AB9"/>
    <w:rsid w:val="000B58C3"/>
    <w:rsid w:val="000B61E9"/>
    <w:rsid w:val="000C1184"/>
    <w:rsid w:val="000C165A"/>
    <w:rsid w:val="000C2E19"/>
    <w:rsid w:val="000C3865"/>
    <w:rsid w:val="000D0D07"/>
    <w:rsid w:val="000D42C9"/>
    <w:rsid w:val="000D4797"/>
    <w:rsid w:val="000D7001"/>
    <w:rsid w:val="000E0527"/>
    <w:rsid w:val="000E1E92"/>
    <w:rsid w:val="000E287D"/>
    <w:rsid w:val="000E7B70"/>
    <w:rsid w:val="000F06D6"/>
    <w:rsid w:val="000F09B7"/>
    <w:rsid w:val="000F0EB1"/>
    <w:rsid w:val="000F1106"/>
    <w:rsid w:val="000F3BE9"/>
    <w:rsid w:val="000F3F6C"/>
    <w:rsid w:val="000F5405"/>
    <w:rsid w:val="000F5D3C"/>
    <w:rsid w:val="000F659A"/>
    <w:rsid w:val="000F6DF3"/>
    <w:rsid w:val="001005FF"/>
    <w:rsid w:val="00101CD9"/>
    <w:rsid w:val="00102E35"/>
    <w:rsid w:val="001058D5"/>
    <w:rsid w:val="001062FB"/>
    <w:rsid w:val="0010630F"/>
    <w:rsid w:val="001063E6"/>
    <w:rsid w:val="001126B0"/>
    <w:rsid w:val="00112D79"/>
    <w:rsid w:val="00113053"/>
    <w:rsid w:val="00113CF4"/>
    <w:rsid w:val="001153EA"/>
    <w:rsid w:val="001155C3"/>
    <w:rsid w:val="00115643"/>
    <w:rsid w:val="00116765"/>
    <w:rsid w:val="00121363"/>
    <w:rsid w:val="001219F5"/>
    <w:rsid w:val="00121A20"/>
    <w:rsid w:val="001222F5"/>
    <w:rsid w:val="001224B4"/>
    <w:rsid w:val="00122E76"/>
    <w:rsid w:val="00123373"/>
    <w:rsid w:val="0012377F"/>
    <w:rsid w:val="00124314"/>
    <w:rsid w:val="00126B4A"/>
    <w:rsid w:val="00132FD0"/>
    <w:rsid w:val="001344C0"/>
    <w:rsid w:val="001346FA"/>
    <w:rsid w:val="00134F86"/>
    <w:rsid w:val="00135252"/>
    <w:rsid w:val="00137AB5"/>
    <w:rsid w:val="00137F0B"/>
    <w:rsid w:val="00141E84"/>
    <w:rsid w:val="001432A9"/>
    <w:rsid w:val="00143D1A"/>
    <w:rsid w:val="0014482A"/>
    <w:rsid w:val="00144D67"/>
    <w:rsid w:val="0014563B"/>
    <w:rsid w:val="00151E23"/>
    <w:rsid w:val="001526E0"/>
    <w:rsid w:val="0015396A"/>
    <w:rsid w:val="001551B5"/>
    <w:rsid w:val="00160D72"/>
    <w:rsid w:val="00160DB4"/>
    <w:rsid w:val="001623A4"/>
    <w:rsid w:val="0016271F"/>
    <w:rsid w:val="0016530A"/>
    <w:rsid w:val="001653F0"/>
    <w:rsid w:val="001659C1"/>
    <w:rsid w:val="00167546"/>
    <w:rsid w:val="00173A8E"/>
    <w:rsid w:val="0017502C"/>
    <w:rsid w:val="001763A1"/>
    <w:rsid w:val="001770D7"/>
    <w:rsid w:val="0018143F"/>
    <w:rsid w:val="00181FF8"/>
    <w:rsid w:val="001835B3"/>
    <w:rsid w:val="00184A96"/>
    <w:rsid w:val="00190AC1"/>
    <w:rsid w:val="001925D2"/>
    <w:rsid w:val="00192D80"/>
    <w:rsid w:val="0019341A"/>
    <w:rsid w:val="001951B2"/>
    <w:rsid w:val="001951D1"/>
    <w:rsid w:val="00195533"/>
    <w:rsid w:val="00197DF9"/>
    <w:rsid w:val="001A1987"/>
    <w:rsid w:val="001A1B47"/>
    <w:rsid w:val="001A2564"/>
    <w:rsid w:val="001A2E74"/>
    <w:rsid w:val="001A59BD"/>
    <w:rsid w:val="001A6173"/>
    <w:rsid w:val="001A6CBA"/>
    <w:rsid w:val="001B03B6"/>
    <w:rsid w:val="001B044C"/>
    <w:rsid w:val="001B0D97"/>
    <w:rsid w:val="001B3293"/>
    <w:rsid w:val="001B3FDE"/>
    <w:rsid w:val="001B5A5D"/>
    <w:rsid w:val="001B6C89"/>
    <w:rsid w:val="001C0C40"/>
    <w:rsid w:val="001C1375"/>
    <w:rsid w:val="001C1CE5"/>
    <w:rsid w:val="001C3A6C"/>
    <w:rsid w:val="001C3D2A"/>
    <w:rsid w:val="001C41D7"/>
    <w:rsid w:val="001D364E"/>
    <w:rsid w:val="001D51BA"/>
    <w:rsid w:val="001D53E7"/>
    <w:rsid w:val="001D6342"/>
    <w:rsid w:val="001D6D53"/>
    <w:rsid w:val="001E00A0"/>
    <w:rsid w:val="001E0E2F"/>
    <w:rsid w:val="001E58E2"/>
    <w:rsid w:val="001E7507"/>
    <w:rsid w:val="001E7540"/>
    <w:rsid w:val="001E7AED"/>
    <w:rsid w:val="001F1D03"/>
    <w:rsid w:val="001F2E31"/>
    <w:rsid w:val="001F3916"/>
    <w:rsid w:val="001F3DAC"/>
    <w:rsid w:val="001F4C96"/>
    <w:rsid w:val="001F54C5"/>
    <w:rsid w:val="001F662C"/>
    <w:rsid w:val="001F7074"/>
    <w:rsid w:val="00200490"/>
    <w:rsid w:val="0020179B"/>
    <w:rsid w:val="00201F3A"/>
    <w:rsid w:val="00203D42"/>
    <w:rsid w:val="00203F96"/>
    <w:rsid w:val="00205D87"/>
    <w:rsid w:val="002069B2"/>
    <w:rsid w:val="00207FA3"/>
    <w:rsid w:val="00211885"/>
    <w:rsid w:val="00214090"/>
    <w:rsid w:val="00214DA8"/>
    <w:rsid w:val="00215423"/>
    <w:rsid w:val="00215426"/>
    <w:rsid w:val="002158FA"/>
    <w:rsid w:val="00220600"/>
    <w:rsid w:val="002224DB"/>
    <w:rsid w:val="00223FCB"/>
    <w:rsid w:val="002252C3"/>
    <w:rsid w:val="00225C54"/>
    <w:rsid w:val="00226741"/>
    <w:rsid w:val="00230765"/>
    <w:rsid w:val="00230D18"/>
    <w:rsid w:val="002319E4"/>
    <w:rsid w:val="00232084"/>
    <w:rsid w:val="00232F50"/>
    <w:rsid w:val="002335A3"/>
    <w:rsid w:val="00235632"/>
    <w:rsid w:val="00235872"/>
    <w:rsid w:val="00240F37"/>
    <w:rsid w:val="00241559"/>
    <w:rsid w:val="002435B3"/>
    <w:rsid w:val="00244357"/>
    <w:rsid w:val="00244B95"/>
    <w:rsid w:val="002458B2"/>
    <w:rsid w:val="002458EB"/>
    <w:rsid w:val="00245930"/>
    <w:rsid w:val="00245DD1"/>
    <w:rsid w:val="00246AC8"/>
    <w:rsid w:val="002478CC"/>
    <w:rsid w:val="002500C8"/>
    <w:rsid w:val="002512C5"/>
    <w:rsid w:val="00252C7E"/>
    <w:rsid w:val="002550D1"/>
    <w:rsid w:val="00255CE5"/>
    <w:rsid w:val="002562C1"/>
    <w:rsid w:val="00257543"/>
    <w:rsid w:val="00257A28"/>
    <w:rsid w:val="002617E7"/>
    <w:rsid w:val="00261BF2"/>
    <w:rsid w:val="00264228"/>
    <w:rsid w:val="00264334"/>
    <w:rsid w:val="00264517"/>
    <w:rsid w:val="0026473E"/>
    <w:rsid w:val="00266214"/>
    <w:rsid w:val="00267C83"/>
    <w:rsid w:val="0027144F"/>
    <w:rsid w:val="00271813"/>
    <w:rsid w:val="00271F3A"/>
    <w:rsid w:val="00273278"/>
    <w:rsid w:val="002737F4"/>
    <w:rsid w:val="002805F5"/>
    <w:rsid w:val="00280751"/>
    <w:rsid w:val="0028280A"/>
    <w:rsid w:val="002834D9"/>
    <w:rsid w:val="00283746"/>
    <w:rsid w:val="00285FFA"/>
    <w:rsid w:val="00286ACD"/>
    <w:rsid w:val="00287838"/>
    <w:rsid w:val="002901DF"/>
    <w:rsid w:val="002907B5"/>
    <w:rsid w:val="00292EB7"/>
    <w:rsid w:val="00294BB8"/>
    <w:rsid w:val="00296227"/>
    <w:rsid w:val="00296F44"/>
    <w:rsid w:val="0029749E"/>
    <w:rsid w:val="0029777D"/>
    <w:rsid w:val="002A055E"/>
    <w:rsid w:val="002A182E"/>
    <w:rsid w:val="002A1D4E"/>
    <w:rsid w:val="002A2869"/>
    <w:rsid w:val="002A391A"/>
    <w:rsid w:val="002A39C1"/>
    <w:rsid w:val="002A4143"/>
    <w:rsid w:val="002A518C"/>
    <w:rsid w:val="002A6A85"/>
    <w:rsid w:val="002A6AB2"/>
    <w:rsid w:val="002B105A"/>
    <w:rsid w:val="002B24D6"/>
    <w:rsid w:val="002C41E6"/>
    <w:rsid w:val="002D071A"/>
    <w:rsid w:val="002D1DF8"/>
    <w:rsid w:val="002D1E4B"/>
    <w:rsid w:val="002D34B2"/>
    <w:rsid w:val="002D48B0"/>
    <w:rsid w:val="002D5B37"/>
    <w:rsid w:val="002D5D83"/>
    <w:rsid w:val="002D7637"/>
    <w:rsid w:val="002E044B"/>
    <w:rsid w:val="002E17F2"/>
    <w:rsid w:val="002E7CAE"/>
    <w:rsid w:val="002F0363"/>
    <w:rsid w:val="002F2771"/>
    <w:rsid w:val="002F294D"/>
    <w:rsid w:val="002F37A9"/>
    <w:rsid w:val="002F7551"/>
    <w:rsid w:val="00300B85"/>
    <w:rsid w:val="003018F6"/>
    <w:rsid w:val="00301CE6"/>
    <w:rsid w:val="0030256B"/>
    <w:rsid w:val="00304168"/>
    <w:rsid w:val="0030501F"/>
    <w:rsid w:val="003064B7"/>
    <w:rsid w:val="00307BA1"/>
    <w:rsid w:val="00311042"/>
    <w:rsid w:val="00311702"/>
    <w:rsid w:val="00311E82"/>
    <w:rsid w:val="00312D79"/>
    <w:rsid w:val="00313FD6"/>
    <w:rsid w:val="003143BD"/>
    <w:rsid w:val="00315363"/>
    <w:rsid w:val="003203ED"/>
    <w:rsid w:val="00322C9F"/>
    <w:rsid w:val="0032361A"/>
    <w:rsid w:val="00324D23"/>
    <w:rsid w:val="00325390"/>
    <w:rsid w:val="00326A2E"/>
    <w:rsid w:val="00331751"/>
    <w:rsid w:val="003344E5"/>
    <w:rsid w:val="00334579"/>
    <w:rsid w:val="00335858"/>
    <w:rsid w:val="00336BDA"/>
    <w:rsid w:val="00337C4C"/>
    <w:rsid w:val="00337FBD"/>
    <w:rsid w:val="003427D3"/>
    <w:rsid w:val="00342A85"/>
    <w:rsid w:val="00342BD7"/>
    <w:rsid w:val="00344A1C"/>
    <w:rsid w:val="00344EB8"/>
    <w:rsid w:val="003461EC"/>
    <w:rsid w:val="00346DB5"/>
    <w:rsid w:val="003477B1"/>
    <w:rsid w:val="00350850"/>
    <w:rsid w:val="00350FFE"/>
    <w:rsid w:val="0035543B"/>
    <w:rsid w:val="00357380"/>
    <w:rsid w:val="003602D9"/>
    <w:rsid w:val="003604CE"/>
    <w:rsid w:val="003635A0"/>
    <w:rsid w:val="003648D8"/>
    <w:rsid w:val="0036535D"/>
    <w:rsid w:val="00370E47"/>
    <w:rsid w:val="00371129"/>
    <w:rsid w:val="003742AC"/>
    <w:rsid w:val="00377CE1"/>
    <w:rsid w:val="00383567"/>
    <w:rsid w:val="00383ADD"/>
    <w:rsid w:val="00383AE3"/>
    <w:rsid w:val="00383FDF"/>
    <w:rsid w:val="00385BF0"/>
    <w:rsid w:val="00390BE6"/>
    <w:rsid w:val="003939FF"/>
    <w:rsid w:val="003951C7"/>
    <w:rsid w:val="00395AC6"/>
    <w:rsid w:val="00396E3C"/>
    <w:rsid w:val="003A0300"/>
    <w:rsid w:val="003A08B7"/>
    <w:rsid w:val="003A0A5E"/>
    <w:rsid w:val="003A0B48"/>
    <w:rsid w:val="003A212A"/>
    <w:rsid w:val="003A2223"/>
    <w:rsid w:val="003A2A0F"/>
    <w:rsid w:val="003A45A1"/>
    <w:rsid w:val="003A5B0A"/>
    <w:rsid w:val="003A6BAC"/>
    <w:rsid w:val="003A70A4"/>
    <w:rsid w:val="003A7EF3"/>
    <w:rsid w:val="003B159C"/>
    <w:rsid w:val="003B369F"/>
    <w:rsid w:val="003B36A3"/>
    <w:rsid w:val="003B51BF"/>
    <w:rsid w:val="003B64BB"/>
    <w:rsid w:val="003B78CF"/>
    <w:rsid w:val="003B7FE5"/>
    <w:rsid w:val="003C11C8"/>
    <w:rsid w:val="003C2702"/>
    <w:rsid w:val="003C4DEC"/>
    <w:rsid w:val="003C50D9"/>
    <w:rsid w:val="003C5333"/>
    <w:rsid w:val="003C71E9"/>
    <w:rsid w:val="003C7806"/>
    <w:rsid w:val="003D109F"/>
    <w:rsid w:val="003D2478"/>
    <w:rsid w:val="003D3C45"/>
    <w:rsid w:val="003D5B1F"/>
    <w:rsid w:val="003E15FA"/>
    <w:rsid w:val="003E55E4"/>
    <w:rsid w:val="003E74E3"/>
    <w:rsid w:val="003F05C7"/>
    <w:rsid w:val="003F21A7"/>
    <w:rsid w:val="003F2BF0"/>
    <w:rsid w:val="003F2CD4"/>
    <w:rsid w:val="003F2FA5"/>
    <w:rsid w:val="003F6BBE"/>
    <w:rsid w:val="004000E8"/>
    <w:rsid w:val="00402B4F"/>
    <w:rsid w:val="00402E2B"/>
    <w:rsid w:val="00403E29"/>
    <w:rsid w:val="00405020"/>
    <w:rsid w:val="0040512B"/>
    <w:rsid w:val="0040537F"/>
    <w:rsid w:val="00405CA5"/>
    <w:rsid w:val="00407CD3"/>
    <w:rsid w:val="0041000F"/>
    <w:rsid w:val="00410134"/>
    <w:rsid w:val="00410B72"/>
    <w:rsid w:val="00410F18"/>
    <w:rsid w:val="0041263E"/>
    <w:rsid w:val="00413AAC"/>
    <w:rsid w:val="00413DA1"/>
    <w:rsid w:val="00413E92"/>
    <w:rsid w:val="00413FB8"/>
    <w:rsid w:val="00415C00"/>
    <w:rsid w:val="00421105"/>
    <w:rsid w:val="00422AA4"/>
    <w:rsid w:val="004242F4"/>
    <w:rsid w:val="00424FFA"/>
    <w:rsid w:val="00425325"/>
    <w:rsid w:val="00425488"/>
    <w:rsid w:val="004256A8"/>
    <w:rsid w:val="004260F6"/>
    <w:rsid w:val="00427248"/>
    <w:rsid w:val="00431564"/>
    <w:rsid w:val="0043174C"/>
    <w:rsid w:val="004334AD"/>
    <w:rsid w:val="00437447"/>
    <w:rsid w:val="00440A8B"/>
    <w:rsid w:val="00441A92"/>
    <w:rsid w:val="00442037"/>
    <w:rsid w:val="004431DC"/>
    <w:rsid w:val="004439E0"/>
    <w:rsid w:val="00443DC8"/>
    <w:rsid w:val="004443A7"/>
    <w:rsid w:val="00444BCA"/>
    <w:rsid w:val="00444F56"/>
    <w:rsid w:val="00446488"/>
    <w:rsid w:val="004517AA"/>
    <w:rsid w:val="004527B7"/>
    <w:rsid w:val="00452CAC"/>
    <w:rsid w:val="004548B1"/>
    <w:rsid w:val="004559B2"/>
    <w:rsid w:val="00457565"/>
    <w:rsid w:val="00457B71"/>
    <w:rsid w:val="004669E2"/>
    <w:rsid w:val="004674C4"/>
    <w:rsid w:val="00470C31"/>
    <w:rsid w:val="00471DE0"/>
    <w:rsid w:val="004731CC"/>
    <w:rsid w:val="004734D0"/>
    <w:rsid w:val="0047384F"/>
    <w:rsid w:val="0047556B"/>
    <w:rsid w:val="00477768"/>
    <w:rsid w:val="00481193"/>
    <w:rsid w:val="00481E25"/>
    <w:rsid w:val="00487203"/>
    <w:rsid w:val="00492BC5"/>
    <w:rsid w:val="00493B67"/>
    <w:rsid w:val="004956A6"/>
    <w:rsid w:val="00495E89"/>
    <w:rsid w:val="004964F1"/>
    <w:rsid w:val="00496661"/>
    <w:rsid w:val="004A16BC"/>
    <w:rsid w:val="004A2B94"/>
    <w:rsid w:val="004A5446"/>
    <w:rsid w:val="004B0854"/>
    <w:rsid w:val="004B2138"/>
    <w:rsid w:val="004B55D2"/>
    <w:rsid w:val="004B6F6A"/>
    <w:rsid w:val="004B7C0C"/>
    <w:rsid w:val="004C2FFC"/>
    <w:rsid w:val="004C3898"/>
    <w:rsid w:val="004C41CE"/>
    <w:rsid w:val="004C41F1"/>
    <w:rsid w:val="004C74C4"/>
    <w:rsid w:val="004D34A0"/>
    <w:rsid w:val="004D36B1"/>
    <w:rsid w:val="004D7EBD"/>
    <w:rsid w:val="004E0C05"/>
    <w:rsid w:val="004E2680"/>
    <w:rsid w:val="004E28F9"/>
    <w:rsid w:val="004E462E"/>
    <w:rsid w:val="004E5262"/>
    <w:rsid w:val="004E56DC"/>
    <w:rsid w:val="004E7285"/>
    <w:rsid w:val="004E76F4"/>
    <w:rsid w:val="004F0B4E"/>
    <w:rsid w:val="004F0B6C"/>
    <w:rsid w:val="004F2078"/>
    <w:rsid w:val="004F4DA3"/>
    <w:rsid w:val="00503CE9"/>
    <w:rsid w:val="00506557"/>
    <w:rsid w:val="0050677A"/>
    <w:rsid w:val="0050723E"/>
    <w:rsid w:val="005108D8"/>
    <w:rsid w:val="005116F9"/>
    <w:rsid w:val="00513230"/>
    <w:rsid w:val="0051506D"/>
    <w:rsid w:val="005153A7"/>
    <w:rsid w:val="00516ED6"/>
    <w:rsid w:val="005211CF"/>
    <w:rsid w:val="005219CF"/>
    <w:rsid w:val="005240AD"/>
    <w:rsid w:val="005339EA"/>
    <w:rsid w:val="00534B59"/>
    <w:rsid w:val="00535653"/>
    <w:rsid w:val="00535AF0"/>
    <w:rsid w:val="00536663"/>
    <w:rsid w:val="00536759"/>
    <w:rsid w:val="00537C62"/>
    <w:rsid w:val="00540686"/>
    <w:rsid w:val="00540BCC"/>
    <w:rsid w:val="005410FB"/>
    <w:rsid w:val="00542057"/>
    <w:rsid w:val="00545E6C"/>
    <w:rsid w:val="00546970"/>
    <w:rsid w:val="005472DC"/>
    <w:rsid w:val="00547FDF"/>
    <w:rsid w:val="00554E19"/>
    <w:rsid w:val="005556A4"/>
    <w:rsid w:val="005574C1"/>
    <w:rsid w:val="0056121F"/>
    <w:rsid w:val="00572505"/>
    <w:rsid w:val="0057260A"/>
    <w:rsid w:val="00577888"/>
    <w:rsid w:val="0058027D"/>
    <w:rsid w:val="00581895"/>
    <w:rsid w:val="005822B8"/>
    <w:rsid w:val="00582809"/>
    <w:rsid w:val="005838B4"/>
    <w:rsid w:val="0058491C"/>
    <w:rsid w:val="005861F6"/>
    <w:rsid w:val="0058798C"/>
    <w:rsid w:val="005900FA"/>
    <w:rsid w:val="00591F45"/>
    <w:rsid w:val="005935A4"/>
    <w:rsid w:val="005948C2"/>
    <w:rsid w:val="00594E28"/>
    <w:rsid w:val="005951B1"/>
    <w:rsid w:val="00595DCA"/>
    <w:rsid w:val="0059779B"/>
    <w:rsid w:val="005A209A"/>
    <w:rsid w:val="005A360A"/>
    <w:rsid w:val="005A4D00"/>
    <w:rsid w:val="005A5C27"/>
    <w:rsid w:val="005A662D"/>
    <w:rsid w:val="005B1409"/>
    <w:rsid w:val="005B1BC2"/>
    <w:rsid w:val="005B35D7"/>
    <w:rsid w:val="005B392A"/>
    <w:rsid w:val="005B3AA3"/>
    <w:rsid w:val="005B448C"/>
    <w:rsid w:val="005B6F83"/>
    <w:rsid w:val="005B7576"/>
    <w:rsid w:val="005B7E75"/>
    <w:rsid w:val="005C20B3"/>
    <w:rsid w:val="005C4CCC"/>
    <w:rsid w:val="005C74FB"/>
    <w:rsid w:val="005C76B1"/>
    <w:rsid w:val="005D08E5"/>
    <w:rsid w:val="005D09D8"/>
    <w:rsid w:val="005D0E17"/>
    <w:rsid w:val="005D1602"/>
    <w:rsid w:val="005D3A29"/>
    <w:rsid w:val="005E2693"/>
    <w:rsid w:val="005E385F"/>
    <w:rsid w:val="005E3EB6"/>
    <w:rsid w:val="005E5B81"/>
    <w:rsid w:val="005E6400"/>
    <w:rsid w:val="005F2CB1"/>
    <w:rsid w:val="005F3025"/>
    <w:rsid w:val="005F618C"/>
    <w:rsid w:val="005F70BD"/>
    <w:rsid w:val="0060283C"/>
    <w:rsid w:val="00602D71"/>
    <w:rsid w:val="00603FBB"/>
    <w:rsid w:val="00604F14"/>
    <w:rsid w:val="006058B5"/>
    <w:rsid w:val="00607A18"/>
    <w:rsid w:val="00611B83"/>
    <w:rsid w:val="0061285C"/>
    <w:rsid w:val="00613257"/>
    <w:rsid w:val="00616253"/>
    <w:rsid w:val="00616373"/>
    <w:rsid w:val="00620A71"/>
    <w:rsid w:val="00620D80"/>
    <w:rsid w:val="00622C26"/>
    <w:rsid w:val="006234A6"/>
    <w:rsid w:val="00623E35"/>
    <w:rsid w:val="00626A48"/>
    <w:rsid w:val="00630001"/>
    <w:rsid w:val="006311B3"/>
    <w:rsid w:val="0063284C"/>
    <w:rsid w:val="006344D5"/>
    <w:rsid w:val="00636398"/>
    <w:rsid w:val="006368D3"/>
    <w:rsid w:val="006377EC"/>
    <w:rsid w:val="00640D5E"/>
    <w:rsid w:val="0064151F"/>
    <w:rsid w:val="00641533"/>
    <w:rsid w:val="0064208D"/>
    <w:rsid w:val="00643475"/>
    <w:rsid w:val="0064396A"/>
    <w:rsid w:val="0064624E"/>
    <w:rsid w:val="00650AB9"/>
    <w:rsid w:val="00652394"/>
    <w:rsid w:val="00655733"/>
    <w:rsid w:val="00655ACD"/>
    <w:rsid w:val="00656A92"/>
    <w:rsid w:val="00656DDE"/>
    <w:rsid w:val="0066011D"/>
    <w:rsid w:val="006607C0"/>
    <w:rsid w:val="006613A6"/>
    <w:rsid w:val="006627A2"/>
    <w:rsid w:val="006634E6"/>
    <w:rsid w:val="00664ED6"/>
    <w:rsid w:val="006655EE"/>
    <w:rsid w:val="00667EE7"/>
    <w:rsid w:val="00670922"/>
    <w:rsid w:val="00670BE1"/>
    <w:rsid w:val="0067218F"/>
    <w:rsid w:val="006741F2"/>
    <w:rsid w:val="00674CC3"/>
    <w:rsid w:val="00675C72"/>
    <w:rsid w:val="0067631D"/>
    <w:rsid w:val="00676ADF"/>
    <w:rsid w:val="006771F9"/>
    <w:rsid w:val="006776D7"/>
    <w:rsid w:val="00677EC5"/>
    <w:rsid w:val="00680CD1"/>
    <w:rsid w:val="00681003"/>
    <w:rsid w:val="006817C9"/>
    <w:rsid w:val="00683A1D"/>
    <w:rsid w:val="00683ECE"/>
    <w:rsid w:val="0068466A"/>
    <w:rsid w:val="00686CBF"/>
    <w:rsid w:val="00687E77"/>
    <w:rsid w:val="0069515F"/>
    <w:rsid w:val="00695FC2"/>
    <w:rsid w:val="00696949"/>
    <w:rsid w:val="00696F50"/>
    <w:rsid w:val="00697052"/>
    <w:rsid w:val="006A46FB"/>
    <w:rsid w:val="006A5E28"/>
    <w:rsid w:val="006A697B"/>
    <w:rsid w:val="006A7AFF"/>
    <w:rsid w:val="006B09B6"/>
    <w:rsid w:val="006B1816"/>
    <w:rsid w:val="006B2099"/>
    <w:rsid w:val="006B3392"/>
    <w:rsid w:val="006B4BB7"/>
    <w:rsid w:val="006B50CF"/>
    <w:rsid w:val="006B7315"/>
    <w:rsid w:val="006C0312"/>
    <w:rsid w:val="006C03B8"/>
    <w:rsid w:val="006C547D"/>
    <w:rsid w:val="006C5EC9"/>
    <w:rsid w:val="006C6059"/>
    <w:rsid w:val="006C6464"/>
    <w:rsid w:val="006C69B4"/>
    <w:rsid w:val="006C7522"/>
    <w:rsid w:val="006D044B"/>
    <w:rsid w:val="006D0DF1"/>
    <w:rsid w:val="006D3909"/>
    <w:rsid w:val="006D6751"/>
    <w:rsid w:val="006D6F08"/>
    <w:rsid w:val="006D7EA6"/>
    <w:rsid w:val="006E062C"/>
    <w:rsid w:val="006E1819"/>
    <w:rsid w:val="006E1C82"/>
    <w:rsid w:val="006E28B7"/>
    <w:rsid w:val="006E2A9B"/>
    <w:rsid w:val="006E2AB5"/>
    <w:rsid w:val="006E3310"/>
    <w:rsid w:val="006E4E39"/>
    <w:rsid w:val="006E565E"/>
    <w:rsid w:val="006E673D"/>
    <w:rsid w:val="006E7D3B"/>
    <w:rsid w:val="006F1B70"/>
    <w:rsid w:val="006F341D"/>
    <w:rsid w:val="006F3CDE"/>
    <w:rsid w:val="006F4C00"/>
    <w:rsid w:val="006F58D4"/>
    <w:rsid w:val="006F6582"/>
    <w:rsid w:val="00700004"/>
    <w:rsid w:val="007012A2"/>
    <w:rsid w:val="0070346E"/>
    <w:rsid w:val="00704EDB"/>
    <w:rsid w:val="00706101"/>
    <w:rsid w:val="00707072"/>
    <w:rsid w:val="007071BB"/>
    <w:rsid w:val="007071C4"/>
    <w:rsid w:val="00707D61"/>
    <w:rsid w:val="00707ED8"/>
    <w:rsid w:val="00712287"/>
    <w:rsid w:val="00712772"/>
    <w:rsid w:val="00712BF8"/>
    <w:rsid w:val="007148D3"/>
    <w:rsid w:val="00715B9A"/>
    <w:rsid w:val="00715DED"/>
    <w:rsid w:val="00723DCD"/>
    <w:rsid w:val="007244CF"/>
    <w:rsid w:val="007257D0"/>
    <w:rsid w:val="00726EA6"/>
    <w:rsid w:val="00727208"/>
    <w:rsid w:val="00727680"/>
    <w:rsid w:val="00734639"/>
    <w:rsid w:val="007348B1"/>
    <w:rsid w:val="007362A6"/>
    <w:rsid w:val="00736D7D"/>
    <w:rsid w:val="00740E58"/>
    <w:rsid w:val="00741263"/>
    <w:rsid w:val="007445A0"/>
    <w:rsid w:val="0074524B"/>
    <w:rsid w:val="00747D8B"/>
    <w:rsid w:val="00751228"/>
    <w:rsid w:val="007512EB"/>
    <w:rsid w:val="007549FE"/>
    <w:rsid w:val="007571E1"/>
    <w:rsid w:val="00757576"/>
    <w:rsid w:val="007604B2"/>
    <w:rsid w:val="00760BB9"/>
    <w:rsid w:val="007615DF"/>
    <w:rsid w:val="0076399A"/>
    <w:rsid w:val="00764678"/>
    <w:rsid w:val="00765281"/>
    <w:rsid w:val="00766BAD"/>
    <w:rsid w:val="007729A2"/>
    <w:rsid w:val="00774CFD"/>
    <w:rsid w:val="007755F2"/>
    <w:rsid w:val="00775A8C"/>
    <w:rsid w:val="00776971"/>
    <w:rsid w:val="00777C29"/>
    <w:rsid w:val="007807C0"/>
    <w:rsid w:val="00780A80"/>
    <w:rsid w:val="0078177E"/>
    <w:rsid w:val="0078234A"/>
    <w:rsid w:val="0078304C"/>
    <w:rsid w:val="00783283"/>
    <w:rsid w:val="00783673"/>
    <w:rsid w:val="00785081"/>
    <w:rsid w:val="00785490"/>
    <w:rsid w:val="0078560F"/>
    <w:rsid w:val="00785975"/>
    <w:rsid w:val="00791B4B"/>
    <w:rsid w:val="007925EA"/>
    <w:rsid w:val="00792A6B"/>
    <w:rsid w:val="0079306A"/>
    <w:rsid w:val="007936DC"/>
    <w:rsid w:val="00793CD8"/>
    <w:rsid w:val="00795C92"/>
    <w:rsid w:val="00796231"/>
    <w:rsid w:val="007A0AF4"/>
    <w:rsid w:val="007A1296"/>
    <w:rsid w:val="007A1CB3"/>
    <w:rsid w:val="007A2154"/>
    <w:rsid w:val="007A24A5"/>
    <w:rsid w:val="007A306F"/>
    <w:rsid w:val="007A43A6"/>
    <w:rsid w:val="007A58A6"/>
    <w:rsid w:val="007A64D6"/>
    <w:rsid w:val="007B242F"/>
    <w:rsid w:val="007B37F6"/>
    <w:rsid w:val="007B3D2D"/>
    <w:rsid w:val="007B429F"/>
    <w:rsid w:val="007B50AE"/>
    <w:rsid w:val="007B51DF"/>
    <w:rsid w:val="007B7678"/>
    <w:rsid w:val="007C05DD"/>
    <w:rsid w:val="007C25BF"/>
    <w:rsid w:val="007C3D18"/>
    <w:rsid w:val="007C60BF"/>
    <w:rsid w:val="007C6A07"/>
    <w:rsid w:val="007C75A1"/>
    <w:rsid w:val="007C77A5"/>
    <w:rsid w:val="007C7A22"/>
    <w:rsid w:val="007D04E5"/>
    <w:rsid w:val="007D0D78"/>
    <w:rsid w:val="007D1C28"/>
    <w:rsid w:val="007D3882"/>
    <w:rsid w:val="007D40BE"/>
    <w:rsid w:val="007D5901"/>
    <w:rsid w:val="007D7526"/>
    <w:rsid w:val="007E2725"/>
    <w:rsid w:val="007E4610"/>
    <w:rsid w:val="007E4715"/>
    <w:rsid w:val="007E505B"/>
    <w:rsid w:val="007E6DAA"/>
    <w:rsid w:val="007E7091"/>
    <w:rsid w:val="007E70AE"/>
    <w:rsid w:val="007F1FB3"/>
    <w:rsid w:val="00803FAE"/>
    <w:rsid w:val="008053E7"/>
    <w:rsid w:val="0080605F"/>
    <w:rsid w:val="008067C7"/>
    <w:rsid w:val="00807786"/>
    <w:rsid w:val="00811FCB"/>
    <w:rsid w:val="008158D6"/>
    <w:rsid w:val="00817196"/>
    <w:rsid w:val="008235DB"/>
    <w:rsid w:val="00824AB4"/>
    <w:rsid w:val="00824C4C"/>
    <w:rsid w:val="00825C42"/>
    <w:rsid w:val="00825D25"/>
    <w:rsid w:val="008263FD"/>
    <w:rsid w:val="00827D6F"/>
    <w:rsid w:val="008301E3"/>
    <w:rsid w:val="00831433"/>
    <w:rsid w:val="00831B80"/>
    <w:rsid w:val="00832AC2"/>
    <w:rsid w:val="00833B6D"/>
    <w:rsid w:val="008376AC"/>
    <w:rsid w:val="00837C33"/>
    <w:rsid w:val="008444E8"/>
    <w:rsid w:val="00844E80"/>
    <w:rsid w:val="00844F53"/>
    <w:rsid w:val="00846FE7"/>
    <w:rsid w:val="00853F0D"/>
    <w:rsid w:val="00855737"/>
    <w:rsid w:val="00856911"/>
    <w:rsid w:val="008634FC"/>
    <w:rsid w:val="008645CC"/>
    <w:rsid w:val="008655AA"/>
    <w:rsid w:val="00866A87"/>
    <w:rsid w:val="00866EBD"/>
    <w:rsid w:val="00867055"/>
    <w:rsid w:val="008671B2"/>
    <w:rsid w:val="008677FD"/>
    <w:rsid w:val="008706D4"/>
    <w:rsid w:val="00870F8A"/>
    <w:rsid w:val="0087165E"/>
    <w:rsid w:val="008719A4"/>
    <w:rsid w:val="00871D23"/>
    <w:rsid w:val="00874312"/>
    <w:rsid w:val="0087437C"/>
    <w:rsid w:val="00875CD7"/>
    <w:rsid w:val="00876B42"/>
    <w:rsid w:val="00876B4D"/>
    <w:rsid w:val="00877F18"/>
    <w:rsid w:val="008809EA"/>
    <w:rsid w:val="00880BA5"/>
    <w:rsid w:val="008907CA"/>
    <w:rsid w:val="008941E3"/>
    <w:rsid w:val="00894288"/>
    <w:rsid w:val="00894A88"/>
    <w:rsid w:val="00895386"/>
    <w:rsid w:val="008A21FF"/>
    <w:rsid w:val="008A2CE2"/>
    <w:rsid w:val="008A2D3C"/>
    <w:rsid w:val="008A30AC"/>
    <w:rsid w:val="008A3C8C"/>
    <w:rsid w:val="008A44B8"/>
    <w:rsid w:val="008A51A8"/>
    <w:rsid w:val="008A54C7"/>
    <w:rsid w:val="008A5B2E"/>
    <w:rsid w:val="008A77D8"/>
    <w:rsid w:val="008B0483"/>
    <w:rsid w:val="008B120C"/>
    <w:rsid w:val="008B51A0"/>
    <w:rsid w:val="008B592A"/>
    <w:rsid w:val="008B6CBD"/>
    <w:rsid w:val="008B7B5C"/>
    <w:rsid w:val="008C0C99"/>
    <w:rsid w:val="008C2017"/>
    <w:rsid w:val="008C2A80"/>
    <w:rsid w:val="008C4958"/>
    <w:rsid w:val="008C4BAA"/>
    <w:rsid w:val="008C51C5"/>
    <w:rsid w:val="008C6004"/>
    <w:rsid w:val="008C6AE8"/>
    <w:rsid w:val="008C7573"/>
    <w:rsid w:val="008D00A5"/>
    <w:rsid w:val="008D34F1"/>
    <w:rsid w:val="008D39D8"/>
    <w:rsid w:val="008D5714"/>
    <w:rsid w:val="008D6D1A"/>
    <w:rsid w:val="008E065E"/>
    <w:rsid w:val="008E06C9"/>
    <w:rsid w:val="008E0927"/>
    <w:rsid w:val="008E1909"/>
    <w:rsid w:val="008E5EC5"/>
    <w:rsid w:val="008E632A"/>
    <w:rsid w:val="008E6779"/>
    <w:rsid w:val="008F1C4E"/>
    <w:rsid w:val="008F1EAB"/>
    <w:rsid w:val="008F33DC"/>
    <w:rsid w:val="008F477F"/>
    <w:rsid w:val="008F6F76"/>
    <w:rsid w:val="008F733D"/>
    <w:rsid w:val="0090039C"/>
    <w:rsid w:val="00902350"/>
    <w:rsid w:val="009028C6"/>
    <w:rsid w:val="0090336B"/>
    <w:rsid w:val="009053AA"/>
    <w:rsid w:val="00906939"/>
    <w:rsid w:val="00906A8C"/>
    <w:rsid w:val="009070B3"/>
    <w:rsid w:val="00910B7D"/>
    <w:rsid w:val="00911DFB"/>
    <w:rsid w:val="00911E60"/>
    <w:rsid w:val="009127DF"/>
    <w:rsid w:val="009139D9"/>
    <w:rsid w:val="009141D6"/>
    <w:rsid w:val="00914AD8"/>
    <w:rsid w:val="00914ED9"/>
    <w:rsid w:val="00916079"/>
    <w:rsid w:val="009164F7"/>
    <w:rsid w:val="00917CE9"/>
    <w:rsid w:val="00920BF2"/>
    <w:rsid w:val="00922010"/>
    <w:rsid w:val="00931BD9"/>
    <w:rsid w:val="009326B8"/>
    <w:rsid w:val="00933252"/>
    <w:rsid w:val="00933717"/>
    <w:rsid w:val="00933B6B"/>
    <w:rsid w:val="0093412E"/>
    <w:rsid w:val="0093525D"/>
    <w:rsid w:val="009364FF"/>
    <w:rsid w:val="009368F3"/>
    <w:rsid w:val="00941636"/>
    <w:rsid w:val="00943742"/>
    <w:rsid w:val="00945C05"/>
    <w:rsid w:val="00946945"/>
    <w:rsid w:val="00946FCA"/>
    <w:rsid w:val="00947037"/>
    <w:rsid w:val="00947713"/>
    <w:rsid w:val="00950DE7"/>
    <w:rsid w:val="00953920"/>
    <w:rsid w:val="009539A4"/>
    <w:rsid w:val="00953D47"/>
    <w:rsid w:val="0095681E"/>
    <w:rsid w:val="009572D4"/>
    <w:rsid w:val="009578C7"/>
    <w:rsid w:val="00960D4C"/>
    <w:rsid w:val="0096146B"/>
    <w:rsid w:val="00961921"/>
    <w:rsid w:val="0096430A"/>
    <w:rsid w:val="0096509C"/>
    <w:rsid w:val="0096554B"/>
    <w:rsid w:val="0096584A"/>
    <w:rsid w:val="00971F08"/>
    <w:rsid w:val="00973596"/>
    <w:rsid w:val="0097603D"/>
    <w:rsid w:val="00976949"/>
    <w:rsid w:val="00980477"/>
    <w:rsid w:val="00984B6C"/>
    <w:rsid w:val="00985253"/>
    <w:rsid w:val="009853B3"/>
    <w:rsid w:val="00987D8D"/>
    <w:rsid w:val="00990630"/>
    <w:rsid w:val="00991761"/>
    <w:rsid w:val="00992351"/>
    <w:rsid w:val="00994DCA"/>
    <w:rsid w:val="009960EC"/>
    <w:rsid w:val="009970DD"/>
    <w:rsid w:val="009A0935"/>
    <w:rsid w:val="009A0FBA"/>
    <w:rsid w:val="009A1601"/>
    <w:rsid w:val="009A262D"/>
    <w:rsid w:val="009A3BB6"/>
    <w:rsid w:val="009A462D"/>
    <w:rsid w:val="009A470F"/>
    <w:rsid w:val="009A5CBA"/>
    <w:rsid w:val="009B1F30"/>
    <w:rsid w:val="009B3AC2"/>
    <w:rsid w:val="009B4DF4"/>
    <w:rsid w:val="009B564E"/>
    <w:rsid w:val="009B6B53"/>
    <w:rsid w:val="009B6CE0"/>
    <w:rsid w:val="009B7E87"/>
    <w:rsid w:val="009C0169"/>
    <w:rsid w:val="009C10FA"/>
    <w:rsid w:val="009C1822"/>
    <w:rsid w:val="009C403E"/>
    <w:rsid w:val="009C7C6E"/>
    <w:rsid w:val="009D0AAD"/>
    <w:rsid w:val="009D3051"/>
    <w:rsid w:val="009D3C26"/>
    <w:rsid w:val="009D4FF0"/>
    <w:rsid w:val="009D6718"/>
    <w:rsid w:val="009D703C"/>
    <w:rsid w:val="009D7058"/>
    <w:rsid w:val="009D718F"/>
    <w:rsid w:val="009E068F"/>
    <w:rsid w:val="009E0803"/>
    <w:rsid w:val="009E14E0"/>
    <w:rsid w:val="009E1BB6"/>
    <w:rsid w:val="009E2068"/>
    <w:rsid w:val="009E35DB"/>
    <w:rsid w:val="009E3669"/>
    <w:rsid w:val="009E42D8"/>
    <w:rsid w:val="009E47A3"/>
    <w:rsid w:val="009E6664"/>
    <w:rsid w:val="009E7900"/>
    <w:rsid w:val="009E7C0E"/>
    <w:rsid w:val="009F08F3"/>
    <w:rsid w:val="009F2C23"/>
    <w:rsid w:val="009F344F"/>
    <w:rsid w:val="009F5FEB"/>
    <w:rsid w:val="009F60A3"/>
    <w:rsid w:val="00A031D8"/>
    <w:rsid w:val="00A045EB"/>
    <w:rsid w:val="00A048A8"/>
    <w:rsid w:val="00A04F49"/>
    <w:rsid w:val="00A06320"/>
    <w:rsid w:val="00A06E51"/>
    <w:rsid w:val="00A10880"/>
    <w:rsid w:val="00A13E54"/>
    <w:rsid w:val="00A17F63"/>
    <w:rsid w:val="00A2193B"/>
    <w:rsid w:val="00A2351A"/>
    <w:rsid w:val="00A237C1"/>
    <w:rsid w:val="00A25B99"/>
    <w:rsid w:val="00A264A9"/>
    <w:rsid w:val="00A26928"/>
    <w:rsid w:val="00A26DCF"/>
    <w:rsid w:val="00A274E2"/>
    <w:rsid w:val="00A27785"/>
    <w:rsid w:val="00A2785C"/>
    <w:rsid w:val="00A27EB5"/>
    <w:rsid w:val="00A30187"/>
    <w:rsid w:val="00A309A5"/>
    <w:rsid w:val="00A323B8"/>
    <w:rsid w:val="00A33375"/>
    <w:rsid w:val="00A3448A"/>
    <w:rsid w:val="00A347AE"/>
    <w:rsid w:val="00A36297"/>
    <w:rsid w:val="00A37909"/>
    <w:rsid w:val="00A41255"/>
    <w:rsid w:val="00A416C2"/>
    <w:rsid w:val="00A41E2B"/>
    <w:rsid w:val="00A43BD4"/>
    <w:rsid w:val="00A45B74"/>
    <w:rsid w:val="00A46E4F"/>
    <w:rsid w:val="00A51784"/>
    <w:rsid w:val="00A51960"/>
    <w:rsid w:val="00A52E1D"/>
    <w:rsid w:val="00A5446C"/>
    <w:rsid w:val="00A54DB3"/>
    <w:rsid w:val="00A60467"/>
    <w:rsid w:val="00A61499"/>
    <w:rsid w:val="00A61B07"/>
    <w:rsid w:val="00A62A77"/>
    <w:rsid w:val="00A63483"/>
    <w:rsid w:val="00A657D7"/>
    <w:rsid w:val="00A660AC"/>
    <w:rsid w:val="00A67E6C"/>
    <w:rsid w:val="00A71B99"/>
    <w:rsid w:val="00A71FF1"/>
    <w:rsid w:val="00A727BD"/>
    <w:rsid w:val="00A739D0"/>
    <w:rsid w:val="00A761D4"/>
    <w:rsid w:val="00A77EC4"/>
    <w:rsid w:val="00A82CF9"/>
    <w:rsid w:val="00A86B83"/>
    <w:rsid w:val="00A9225F"/>
    <w:rsid w:val="00A92879"/>
    <w:rsid w:val="00A93A21"/>
    <w:rsid w:val="00A9442A"/>
    <w:rsid w:val="00A9639B"/>
    <w:rsid w:val="00AA016F"/>
    <w:rsid w:val="00AA12AF"/>
    <w:rsid w:val="00AA1ED6"/>
    <w:rsid w:val="00AA3043"/>
    <w:rsid w:val="00AA51D6"/>
    <w:rsid w:val="00AA78D9"/>
    <w:rsid w:val="00AB0BC8"/>
    <w:rsid w:val="00AB11CA"/>
    <w:rsid w:val="00AB14D9"/>
    <w:rsid w:val="00AB233E"/>
    <w:rsid w:val="00AB4AB8"/>
    <w:rsid w:val="00AB5CD6"/>
    <w:rsid w:val="00AB655E"/>
    <w:rsid w:val="00AB6E12"/>
    <w:rsid w:val="00AC007F"/>
    <w:rsid w:val="00AC2ECD"/>
    <w:rsid w:val="00AC3119"/>
    <w:rsid w:val="00AC3EE5"/>
    <w:rsid w:val="00AC49FB"/>
    <w:rsid w:val="00AC57BB"/>
    <w:rsid w:val="00AC5A10"/>
    <w:rsid w:val="00AC69AB"/>
    <w:rsid w:val="00AC7F4E"/>
    <w:rsid w:val="00AD0AA3"/>
    <w:rsid w:val="00AD2ED0"/>
    <w:rsid w:val="00AD3F94"/>
    <w:rsid w:val="00AD4A5A"/>
    <w:rsid w:val="00AD6384"/>
    <w:rsid w:val="00AD63C1"/>
    <w:rsid w:val="00AD6CC1"/>
    <w:rsid w:val="00AE27AC"/>
    <w:rsid w:val="00AE3844"/>
    <w:rsid w:val="00AE40E0"/>
    <w:rsid w:val="00AE4DBA"/>
    <w:rsid w:val="00AE4F07"/>
    <w:rsid w:val="00AE5C9B"/>
    <w:rsid w:val="00AF09D3"/>
    <w:rsid w:val="00AF1C5D"/>
    <w:rsid w:val="00AF1D4D"/>
    <w:rsid w:val="00AF42D7"/>
    <w:rsid w:val="00AF54EE"/>
    <w:rsid w:val="00AF6609"/>
    <w:rsid w:val="00AF731E"/>
    <w:rsid w:val="00AF7907"/>
    <w:rsid w:val="00B006FE"/>
    <w:rsid w:val="00B007CB"/>
    <w:rsid w:val="00B00886"/>
    <w:rsid w:val="00B02AA9"/>
    <w:rsid w:val="00B02B07"/>
    <w:rsid w:val="00B02FA3"/>
    <w:rsid w:val="00B05084"/>
    <w:rsid w:val="00B052AD"/>
    <w:rsid w:val="00B0792B"/>
    <w:rsid w:val="00B150AA"/>
    <w:rsid w:val="00B157F9"/>
    <w:rsid w:val="00B15AA3"/>
    <w:rsid w:val="00B16FFE"/>
    <w:rsid w:val="00B173FC"/>
    <w:rsid w:val="00B20256"/>
    <w:rsid w:val="00B20D09"/>
    <w:rsid w:val="00B2118C"/>
    <w:rsid w:val="00B2763F"/>
    <w:rsid w:val="00B27AAC"/>
    <w:rsid w:val="00B30929"/>
    <w:rsid w:val="00B32680"/>
    <w:rsid w:val="00B372AA"/>
    <w:rsid w:val="00B40445"/>
    <w:rsid w:val="00B409E0"/>
    <w:rsid w:val="00B40CDA"/>
    <w:rsid w:val="00B417F9"/>
    <w:rsid w:val="00B41888"/>
    <w:rsid w:val="00B45151"/>
    <w:rsid w:val="00B45835"/>
    <w:rsid w:val="00B45A52"/>
    <w:rsid w:val="00B46175"/>
    <w:rsid w:val="00B50027"/>
    <w:rsid w:val="00B50F4E"/>
    <w:rsid w:val="00B544CA"/>
    <w:rsid w:val="00B548B7"/>
    <w:rsid w:val="00B5759C"/>
    <w:rsid w:val="00B619FB"/>
    <w:rsid w:val="00B664C7"/>
    <w:rsid w:val="00B7176F"/>
    <w:rsid w:val="00B739F6"/>
    <w:rsid w:val="00B775AD"/>
    <w:rsid w:val="00B81A6C"/>
    <w:rsid w:val="00B84307"/>
    <w:rsid w:val="00B85D92"/>
    <w:rsid w:val="00B85DE5"/>
    <w:rsid w:val="00B90F73"/>
    <w:rsid w:val="00B93B59"/>
    <w:rsid w:val="00B9406A"/>
    <w:rsid w:val="00B94736"/>
    <w:rsid w:val="00BA2280"/>
    <w:rsid w:val="00BA2558"/>
    <w:rsid w:val="00BA2A08"/>
    <w:rsid w:val="00BA38E8"/>
    <w:rsid w:val="00BA44F4"/>
    <w:rsid w:val="00BA478D"/>
    <w:rsid w:val="00BA4F52"/>
    <w:rsid w:val="00BA56D2"/>
    <w:rsid w:val="00BA76E0"/>
    <w:rsid w:val="00BB2A25"/>
    <w:rsid w:val="00BB51E9"/>
    <w:rsid w:val="00BC0FDC"/>
    <w:rsid w:val="00BC1A34"/>
    <w:rsid w:val="00BC3053"/>
    <w:rsid w:val="00BC4874"/>
    <w:rsid w:val="00BC4D2E"/>
    <w:rsid w:val="00BD48AC"/>
    <w:rsid w:val="00BD5D04"/>
    <w:rsid w:val="00BD5F1A"/>
    <w:rsid w:val="00BE1234"/>
    <w:rsid w:val="00BE2E53"/>
    <w:rsid w:val="00BE2FA6"/>
    <w:rsid w:val="00BE333F"/>
    <w:rsid w:val="00BE363E"/>
    <w:rsid w:val="00BE7406"/>
    <w:rsid w:val="00BE7603"/>
    <w:rsid w:val="00BF03F3"/>
    <w:rsid w:val="00BF0795"/>
    <w:rsid w:val="00BF0F2A"/>
    <w:rsid w:val="00BF21AF"/>
    <w:rsid w:val="00BF3279"/>
    <w:rsid w:val="00BF74C7"/>
    <w:rsid w:val="00C015F1"/>
    <w:rsid w:val="00C01F33"/>
    <w:rsid w:val="00C02CC6"/>
    <w:rsid w:val="00C040F7"/>
    <w:rsid w:val="00C044AB"/>
    <w:rsid w:val="00C05706"/>
    <w:rsid w:val="00C07377"/>
    <w:rsid w:val="00C10478"/>
    <w:rsid w:val="00C12107"/>
    <w:rsid w:val="00C14D4B"/>
    <w:rsid w:val="00C154BB"/>
    <w:rsid w:val="00C157AD"/>
    <w:rsid w:val="00C22F12"/>
    <w:rsid w:val="00C23AC7"/>
    <w:rsid w:val="00C2654D"/>
    <w:rsid w:val="00C266B1"/>
    <w:rsid w:val="00C279B5"/>
    <w:rsid w:val="00C27C45"/>
    <w:rsid w:val="00C30E85"/>
    <w:rsid w:val="00C36720"/>
    <w:rsid w:val="00C3719D"/>
    <w:rsid w:val="00C37CB2"/>
    <w:rsid w:val="00C41422"/>
    <w:rsid w:val="00C41684"/>
    <w:rsid w:val="00C45B81"/>
    <w:rsid w:val="00C473A5"/>
    <w:rsid w:val="00C4751D"/>
    <w:rsid w:val="00C4783F"/>
    <w:rsid w:val="00C54995"/>
    <w:rsid w:val="00C54D41"/>
    <w:rsid w:val="00C60783"/>
    <w:rsid w:val="00C614D8"/>
    <w:rsid w:val="00C64672"/>
    <w:rsid w:val="00C67070"/>
    <w:rsid w:val="00C70125"/>
    <w:rsid w:val="00C70697"/>
    <w:rsid w:val="00C70726"/>
    <w:rsid w:val="00C72093"/>
    <w:rsid w:val="00C7247C"/>
    <w:rsid w:val="00C72EF4"/>
    <w:rsid w:val="00C74341"/>
    <w:rsid w:val="00C744FE"/>
    <w:rsid w:val="00C74A73"/>
    <w:rsid w:val="00C75D2F"/>
    <w:rsid w:val="00C767BE"/>
    <w:rsid w:val="00C76E3C"/>
    <w:rsid w:val="00C81038"/>
    <w:rsid w:val="00C81568"/>
    <w:rsid w:val="00C81EA2"/>
    <w:rsid w:val="00C9027A"/>
    <w:rsid w:val="00C9068E"/>
    <w:rsid w:val="00C9282E"/>
    <w:rsid w:val="00C92DF0"/>
    <w:rsid w:val="00C93814"/>
    <w:rsid w:val="00C93C4B"/>
    <w:rsid w:val="00C944AB"/>
    <w:rsid w:val="00C95B40"/>
    <w:rsid w:val="00C979B0"/>
    <w:rsid w:val="00CA1ED8"/>
    <w:rsid w:val="00CA4478"/>
    <w:rsid w:val="00CA73A5"/>
    <w:rsid w:val="00CB1F63"/>
    <w:rsid w:val="00CB3EC0"/>
    <w:rsid w:val="00CB6E6A"/>
    <w:rsid w:val="00CB7170"/>
    <w:rsid w:val="00CC040E"/>
    <w:rsid w:val="00CC111F"/>
    <w:rsid w:val="00CC2011"/>
    <w:rsid w:val="00CC2325"/>
    <w:rsid w:val="00CC276A"/>
    <w:rsid w:val="00CC27DC"/>
    <w:rsid w:val="00CC2D71"/>
    <w:rsid w:val="00CC3EA0"/>
    <w:rsid w:val="00CC53B4"/>
    <w:rsid w:val="00CC7B45"/>
    <w:rsid w:val="00CD0FEC"/>
    <w:rsid w:val="00CD1188"/>
    <w:rsid w:val="00CD2ED1"/>
    <w:rsid w:val="00CD3281"/>
    <w:rsid w:val="00CD337B"/>
    <w:rsid w:val="00CD34A5"/>
    <w:rsid w:val="00CD3551"/>
    <w:rsid w:val="00CD4460"/>
    <w:rsid w:val="00CE0424"/>
    <w:rsid w:val="00CE0E29"/>
    <w:rsid w:val="00CE33CE"/>
    <w:rsid w:val="00CE7561"/>
    <w:rsid w:val="00CF1354"/>
    <w:rsid w:val="00CF26F0"/>
    <w:rsid w:val="00CF3B1F"/>
    <w:rsid w:val="00CF3BF6"/>
    <w:rsid w:val="00CF3DA0"/>
    <w:rsid w:val="00CF5305"/>
    <w:rsid w:val="00CF5D2C"/>
    <w:rsid w:val="00CF625B"/>
    <w:rsid w:val="00CF687E"/>
    <w:rsid w:val="00D002F1"/>
    <w:rsid w:val="00D005EE"/>
    <w:rsid w:val="00D02727"/>
    <w:rsid w:val="00D0349B"/>
    <w:rsid w:val="00D05822"/>
    <w:rsid w:val="00D10249"/>
    <w:rsid w:val="00D115C3"/>
    <w:rsid w:val="00D11897"/>
    <w:rsid w:val="00D13135"/>
    <w:rsid w:val="00D13850"/>
    <w:rsid w:val="00D139AE"/>
    <w:rsid w:val="00D13E4E"/>
    <w:rsid w:val="00D14E67"/>
    <w:rsid w:val="00D23148"/>
    <w:rsid w:val="00D239A7"/>
    <w:rsid w:val="00D23F47"/>
    <w:rsid w:val="00D33C7E"/>
    <w:rsid w:val="00D34B24"/>
    <w:rsid w:val="00D3624A"/>
    <w:rsid w:val="00D36E71"/>
    <w:rsid w:val="00D37505"/>
    <w:rsid w:val="00D37525"/>
    <w:rsid w:val="00D375CE"/>
    <w:rsid w:val="00D37D87"/>
    <w:rsid w:val="00D40B33"/>
    <w:rsid w:val="00D40B82"/>
    <w:rsid w:val="00D4318F"/>
    <w:rsid w:val="00D438BF"/>
    <w:rsid w:val="00D440F8"/>
    <w:rsid w:val="00D4604E"/>
    <w:rsid w:val="00D46ABB"/>
    <w:rsid w:val="00D53A30"/>
    <w:rsid w:val="00D546FF"/>
    <w:rsid w:val="00D55AD5"/>
    <w:rsid w:val="00D576CA"/>
    <w:rsid w:val="00D57AFD"/>
    <w:rsid w:val="00D61AF5"/>
    <w:rsid w:val="00D61C69"/>
    <w:rsid w:val="00D62565"/>
    <w:rsid w:val="00D63AB1"/>
    <w:rsid w:val="00D652B5"/>
    <w:rsid w:val="00D66155"/>
    <w:rsid w:val="00D708B0"/>
    <w:rsid w:val="00D716B4"/>
    <w:rsid w:val="00D744B5"/>
    <w:rsid w:val="00D75B0A"/>
    <w:rsid w:val="00D77B1D"/>
    <w:rsid w:val="00D8021F"/>
    <w:rsid w:val="00D80383"/>
    <w:rsid w:val="00D80AC8"/>
    <w:rsid w:val="00D823C6"/>
    <w:rsid w:val="00D8327F"/>
    <w:rsid w:val="00D86CA3"/>
    <w:rsid w:val="00D871CE"/>
    <w:rsid w:val="00D91758"/>
    <w:rsid w:val="00D9196D"/>
    <w:rsid w:val="00D92982"/>
    <w:rsid w:val="00D93729"/>
    <w:rsid w:val="00D94A4B"/>
    <w:rsid w:val="00DA0E16"/>
    <w:rsid w:val="00DA305E"/>
    <w:rsid w:val="00DA5417"/>
    <w:rsid w:val="00DA56E8"/>
    <w:rsid w:val="00DB0A9F"/>
    <w:rsid w:val="00DB0D77"/>
    <w:rsid w:val="00DB377D"/>
    <w:rsid w:val="00DC04CA"/>
    <w:rsid w:val="00DC0D94"/>
    <w:rsid w:val="00DC19A4"/>
    <w:rsid w:val="00DC2D36"/>
    <w:rsid w:val="00DC53EF"/>
    <w:rsid w:val="00DC72B4"/>
    <w:rsid w:val="00DD24B0"/>
    <w:rsid w:val="00DD46CE"/>
    <w:rsid w:val="00DD4707"/>
    <w:rsid w:val="00DD49DB"/>
    <w:rsid w:val="00DE0DF4"/>
    <w:rsid w:val="00DE5608"/>
    <w:rsid w:val="00DE57D9"/>
    <w:rsid w:val="00DE58D0"/>
    <w:rsid w:val="00DE654F"/>
    <w:rsid w:val="00DF0B6E"/>
    <w:rsid w:val="00DF15E0"/>
    <w:rsid w:val="00DF326C"/>
    <w:rsid w:val="00DF3297"/>
    <w:rsid w:val="00DF37A0"/>
    <w:rsid w:val="00DF5C98"/>
    <w:rsid w:val="00E020FC"/>
    <w:rsid w:val="00E03BC6"/>
    <w:rsid w:val="00E06356"/>
    <w:rsid w:val="00E0725A"/>
    <w:rsid w:val="00E074BE"/>
    <w:rsid w:val="00E110E7"/>
    <w:rsid w:val="00E11B20"/>
    <w:rsid w:val="00E133DC"/>
    <w:rsid w:val="00E14986"/>
    <w:rsid w:val="00E15473"/>
    <w:rsid w:val="00E17FA2"/>
    <w:rsid w:val="00E21AE9"/>
    <w:rsid w:val="00E22330"/>
    <w:rsid w:val="00E24332"/>
    <w:rsid w:val="00E2588B"/>
    <w:rsid w:val="00E27ECD"/>
    <w:rsid w:val="00E30B5A"/>
    <w:rsid w:val="00E3123D"/>
    <w:rsid w:val="00E31461"/>
    <w:rsid w:val="00E31D43"/>
    <w:rsid w:val="00E32608"/>
    <w:rsid w:val="00E32D3B"/>
    <w:rsid w:val="00E33181"/>
    <w:rsid w:val="00E33533"/>
    <w:rsid w:val="00E34188"/>
    <w:rsid w:val="00E34B6E"/>
    <w:rsid w:val="00E35559"/>
    <w:rsid w:val="00E35F0F"/>
    <w:rsid w:val="00E3723A"/>
    <w:rsid w:val="00E3763F"/>
    <w:rsid w:val="00E37860"/>
    <w:rsid w:val="00E42607"/>
    <w:rsid w:val="00E43C01"/>
    <w:rsid w:val="00E446F1"/>
    <w:rsid w:val="00E449F7"/>
    <w:rsid w:val="00E454F7"/>
    <w:rsid w:val="00E457AD"/>
    <w:rsid w:val="00E46886"/>
    <w:rsid w:val="00E47AEF"/>
    <w:rsid w:val="00E50282"/>
    <w:rsid w:val="00E539D0"/>
    <w:rsid w:val="00E53B75"/>
    <w:rsid w:val="00E54E3B"/>
    <w:rsid w:val="00E55429"/>
    <w:rsid w:val="00E57565"/>
    <w:rsid w:val="00E57EE3"/>
    <w:rsid w:val="00E60A3A"/>
    <w:rsid w:val="00E61132"/>
    <w:rsid w:val="00E63838"/>
    <w:rsid w:val="00E64434"/>
    <w:rsid w:val="00E65184"/>
    <w:rsid w:val="00E67C51"/>
    <w:rsid w:val="00E7011C"/>
    <w:rsid w:val="00E701CD"/>
    <w:rsid w:val="00E72EFC"/>
    <w:rsid w:val="00E737BE"/>
    <w:rsid w:val="00E73812"/>
    <w:rsid w:val="00E73FAF"/>
    <w:rsid w:val="00E758EC"/>
    <w:rsid w:val="00E75922"/>
    <w:rsid w:val="00E8234C"/>
    <w:rsid w:val="00E825F9"/>
    <w:rsid w:val="00E82798"/>
    <w:rsid w:val="00E82C48"/>
    <w:rsid w:val="00E830B3"/>
    <w:rsid w:val="00E83AA9"/>
    <w:rsid w:val="00E85928"/>
    <w:rsid w:val="00E86346"/>
    <w:rsid w:val="00E86457"/>
    <w:rsid w:val="00E87822"/>
    <w:rsid w:val="00E90395"/>
    <w:rsid w:val="00E90E49"/>
    <w:rsid w:val="00E917F9"/>
    <w:rsid w:val="00E9291C"/>
    <w:rsid w:val="00E93FFE"/>
    <w:rsid w:val="00E94F8A"/>
    <w:rsid w:val="00EA2D50"/>
    <w:rsid w:val="00EA4852"/>
    <w:rsid w:val="00EA756A"/>
    <w:rsid w:val="00EA7A41"/>
    <w:rsid w:val="00EB077B"/>
    <w:rsid w:val="00EB0AA4"/>
    <w:rsid w:val="00EB1020"/>
    <w:rsid w:val="00EB11EB"/>
    <w:rsid w:val="00EB4907"/>
    <w:rsid w:val="00EB4EA2"/>
    <w:rsid w:val="00EB55DA"/>
    <w:rsid w:val="00EB70E5"/>
    <w:rsid w:val="00EC0BC5"/>
    <w:rsid w:val="00EC24D5"/>
    <w:rsid w:val="00EC27C6"/>
    <w:rsid w:val="00EC2E21"/>
    <w:rsid w:val="00EC4207"/>
    <w:rsid w:val="00EC45F1"/>
    <w:rsid w:val="00EC5194"/>
    <w:rsid w:val="00EC5653"/>
    <w:rsid w:val="00EC71CE"/>
    <w:rsid w:val="00EC75AA"/>
    <w:rsid w:val="00ED1006"/>
    <w:rsid w:val="00ED18A9"/>
    <w:rsid w:val="00ED6C12"/>
    <w:rsid w:val="00ED7672"/>
    <w:rsid w:val="00EE7344"/>
    <w:rsid w:val="00EF0F09"/>
    <w:rsid w:val="00EF11E8"/>
    <w:rsid w:val="00EF18FE"/>
    <w:rsid w:val="00EF5787"/>
    <w:rsid w:val="00EF60D0"/>
    <w:rsid w:val="00F0024E"/>
    <w:rsid w:val="00F0528D"/>
    <w:rsid w:val="00F06469"/>
    <w:rsid w:val="00F06C67"/>
    <w:rsid w:val="00F06DFD"/>
    <w:rsid w:val="00F071D1"/>
    <w:rsid w:val="00F07533"/>
    <w:rsid w:val="00F10629"/>
    <w:rsid w:val="00F11D7B"/>
    <w:rsid w:val="00F122B0"/>
    <w:rsid w:val="00F15FA5"/>
    <w:rsid w:val="00F209B7"/>
    <w:rsid w:val="00F2376F"/>
    <w:rsid w:val="00F243D8"/>
    <w:rsid w:val="00F26478"/>
    <w:rsid w:val="00F30828"/>
    <w:rsid w:val="00F313D6"/>
    <w:rsid w:val="00F34365"/>
    <w:rsid w:val="00F40F0C"/>
    <w:rsid w:val="00F41171"/>
    <w:rsid w:val="00F41EFD"/>
    <w:rsid w:val="00F42566"/>
    <w:rsid w:val="00F43887"/>
    <w:rsid w:val="00F454D0"/>
    <w:rsid w:val="00F4766C"/>
    <w:rsid w:val="00F50139"/>
    <w:rsid w:val="00F5060E"/>
    <w:rsid w:val="00F507D1"/>
    <w:rsid w:val="00F5199C"/>
    <w:rsid w:val="00F519CE"/>
    <w:rsid w:val="00F51ADA"/>
    <w:rsid w:val="00F51E44"/>
    <w:rsid w:val="00F52977"/>
    <w:rsid w:val="00F547AC"/>
    <w:rsid w:val="00F54C77"/>
    <w:rsid w:val="00F60203"/>
    <w:rsid w:val="00F60600"/>
    <w:rsid w:val="00F607C5"/>
    <w:rsid w:val="00F60DEA"/>
    <w:rsid w:val="00F6127C"/>
    <w:rsid w:val="00F6302A"/>
    <w:rsid w:val="00F63950"/>
    <w:rsid w:val="00F64C2B"/>
    <w:rsid w:val="00F651BE"/>
    <w:rsid w:val="00F67F53"/>
    <w:rsid w:val="00F703BE"/>
    <w:rsid w:val="00F7199B"/>
    <w:rsid w:val="00F71F69"/>
    <w:rsid w:val="00F72B72"/>
    <w:rsid w:val="00F72BE8"/>
    <w:rsid w:val="00F74BB9"/>
    <w:rsid w:val="00F75582"/>
    <w:rsid w:val="00F75C6B"/>
    <w:rsid w:val="00F76EFA"/>
    <w:rsid w:val="00F804BE"/>
    <w:rsid w:val="00F812B9"/>
    <w:rsid w:val="00F817CE"/>
    <w:rsid w:val="00F837B2"/>
    <w:rsid w:val="00F8456C"/>
    <w:rsid w:val="00F859D8"/>
    <w:rsid w:val="00F868F5"/>
    <w:rsid w:val="00F901F2"/>
    <w:rsid w:val="00F9056A"/>
    <w:rsid w:val="00F907D4"/>
    <w:rsid w:val="00F90F8D"/>
    <w:rsid w:val="00F92782"/>
    <w:rsid w:val="00F93AA9"/>
    <w:rsid w:val="00F9484B"/>
    <w:rsid w:val="00F96985"/>
    <w:rsid w:val="00F9723D"/>
    <w:rsid w:val="00F97838"/>
    <w:rsid w:val="00FA1A7B"/>
    <w:rsid w:val="00FA2821"/>
    <w:rsid w:val="00FA2BB3"/>
    <w:rsid w:val="00FA379C"/>
    <w:rsid w:val="00FB12F8"/>
    <w:rsid w:val="00FB20A1"/>
    <w:rsid w:val="00FB4158"/>
    <w:rsid w:val="00FB4C80"/>
    <w:rsid w:val="00FB6A4F"/>
    <w:rsid w:val="00FB6A6A"/>
    <w:rsid w:val="00FC5B1D"/>
    <w:rsid w:val="00FC7429"/>
    <w:rsid w:val="00FD07F6"/>
    <w:rsid w:val="00FD1EC8"/>
    <w:rsid w:val="00FD47ED"/>
    <w:rsid w:val="00FD74DB"/>
    <w:rsid w:val="00FD7660"/>
    <w:rsid w:val="00FE05EE"/>
    <w:rsid w:val="00FE0655"/>
    <w:rsid w:val="00FE2365"/>
    <w:rsid w:val="00FE37D7"/>
    <w:rsid w:val="00FE3F76"/>
    <w:rsid w:val="00FE4C7B"/>
    <w:rsid w:val="00FE7336"/>
    <w:rsid w:val="00FE787C"/>
    <w:rsid w:val="00FF0E8A"/>
    <w:rsid w:val="00FF1DB6"/>
    <w:rsid w:val="00FF45A5"/>
    <w:rsid w:val="00FF4C4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2E6D915"/>
  <w15:chartTrackingRefBased/>
  <w15:docId w15:val="{B4449BCB-F25E-4421-9109-32D4C881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qFormat/>
    <w:rsid w:val="004548B1"/>
    <w:pPr>
      <w:keepNext/>
      <w:numPr>
        <w:numId w:val="14"/>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984B6C"/>
    <w:rPr>
      <w:color w:val="605E5C"/>
      <w:shd w:val="clear" w:color="auto" w:fill="E1DFDD"/>
    </w:rPr>
  </w:style>
  <w:style w:type="character" w:styleId="Mention">
    <w:name w:val="Mention"/>
    <w:basedOn w:val="DefaultParagraphFont"/>
    <w:uiPriority w:val="99"/>
    <w:unhideWhenUsed/>
    <w:rsid w:val="00F002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21922">
      <w:bodyDiv w:val="1"/>
      <w:marLeft w:val="0"/>
      <w:marRight w:val="0"/>
      <w:marTop w:val="0"/>
      <w:marBottom w:val="0"/>
      <w:divBdr>
        <w:top w:val="none" w:sz="0" w:space="0" w:color="auto"/>
        <w:left w:val="none" w:sz="0" w:space="0" w:color="auto"/>
        <w:bottom w:val="none" w:sz="0" w:space="0" w:color="auto"/>
        <w:right w:val="none" w:sz="0" w:space="0" w:color="auto"/>
      </w:divBdr>
    </w:div>
    <w:div w:id="353968051">
      <w:bodyDiv w:val="1"/>
      <w:marLeft w:val="0"/>
      <w:marRight w:val="0"/>
      <w:marTop w:val="0"/>
      <w:marBottom w:val="0"/>
      <w:divBdr>
        <w:top w:val="none" w:sz="0" w:space="0" w:color="auto"/>
        <w:left w:val="none" w:sz="0" w:space="0" w:color="auto"/>
        <w:bottom w:val="none" w:sz="0" w:space="0" w:color="auto"/>
        <w:right w:val="none" w:sz="0" w:space="0" w:color="auto"/>
      </w:divBdr>
    </w:div>
    <w:div w:id="554705406">
      <w:bodyDiv w:val="1"/>
      <w:marLeft w:val="0"/>
      <w:marRight w:val="0"/>
      <w:marTop w:val="0"/>
      <w:marBottom w:val="0"/>
      <w:divBdr>
        <w:top w:val="none" w:sz="0" w:space="0" w:color="auto"/>
        <w:left w:val="none" w:sz="0" w:space="0" w:color="auto"/>
        <w:bottom w:val="none" w:sz="0" w:space="0" w:color="auto"/>
        <w:right w:val="none" w:sz="0" w:space="0" w:color="auto"/>
      </w:divBdr>
    </w:div>
    <w:div w:id="764230177">
      <w:bodyDiv w:val="1"/>
      <w:marLeft w:val="0"/>
      <w:marRight w:val="0"/>
      <w:marTop w:val="0"/>
      <w:marBottom w:val="0"/>
      <w:divBdr>
        <w:top w:val="none" w:sz="0" w:space="0" w:color="auto"/>
        <w:left w:val="none" w:sz="0" w:space="0" w:color="auto"/>
        <w:bottom w:val="none" w:sz="0" w:space="0" w:color="auto"/>
        <w:right w:val="none" w:sz="0" w:space="0" w:color="auto"/>
      </w:divBdr>
    </w:div>
    <w:div w:id="812722529">
      <w:bodyDiv w:val="1"/>
      <w:marLeft w:val="0"/>
      <w:marRight w:val="0"/>
      <w:marTop w:val="0"/>
      <w:marBottom w:val="0"/>
      <w:divBdr>
        <w:top w:val="none" w:sz="0" w:space="0" w:color="auto"/>
        <w:left w:val="none" w:sz="0" w:space="0" w:color="auto"/>
        <w:bottom w:val="none" w:sz="0" w:space="0" w:color="auto"/>
        <w:right w:val="none" w:sz="0" w:space="0" w:color="auto"/>
      </w:divBdr>
    </w:div>
    <w:div w:id="1094473788">
      <w:bodyDiv w:val="1"/>
      <w:marLeft w:val="0"/>
      <w:marRight w:val="0"/>
      <w:marTop w:val="0"/>
      <w:marBottom w:val="0"/>
      <w:divBdr>
        <w:top w:val="none" w:sz="0" w:space="0" w:color="auto"/>
        <w:left w:val="none" w:sz="0" w:space="0" w:color="auto"/>
        <w:bottom w:val="none" w:sz="0" w:space="0" w:color="auto"/>
        <w:right w:val="none" w:sz="0" w:space="0" w:color="auto"/>
      </w:divBdr>
    </w:div>
    <w:div w:id="1108744713">
      <w:bodyDiv w:val="1"/>
      <w:marLeft w:val="0"/>
      <w:marRight w:val="0"/>
      <w:marTop w:val="0"/>
      <w:marBottom w:val="0"/>
      <w:divBdr>
        <w:top w:val="none" w:sz="0" w:space="0" w:color="auto"/>
        <w:left w:val="none" w:sz="0" w:space="0" w:color="auto"/>
        <w:bottom w:val="none" w:sz="0" w:space="0" w:color="auto"/>
        <w:right w:val="none" w:sz="0" w:space="0" w:color="auto"/>
      </w:divBdr>
    </w:div>
    <w:div w:id="1200627427">
      <w:bodyDiv w:val="1"/>
      <w:marLeft w:val="0"/>
      <w:marRight w:val="0"/>
      <w:marTop w:val="0"/>
      <w:marBottom w:val="0"/>
      <w:divBdr>
        <w:top w:val="none" w:sz="0" w:space="0" w:color="auto"/>
        <w:left w:val="none" w:sz="0" w:space="0" w:color="auto"/>
        <w:bottom w:val="none" w:sz="0" w:space="0" w:color="auto"/>
        <w:right w:val="none" w:sz="0" w:space="0" w:color="auto"/>
      </w:divBdr>
    </w:div>
    <w:div w:id="1446659877">
      <w:bodyDiv w:val="1"/>
      <w:marLeft w:val="0"/>
      <w:marRight w:val="0"/>
      <w:marTop w:val="0"/>
      <w:marBottom w:val="0"/>
      <w:divBdr>
        <w:top w:val="none" w:sz="0" w:space="0" w:color="auto"/>
        <w:left w:val="none" w:sz="0" w:space="0" w:color="auto"/>
        <w:bottom w:val="none" w:sz="0" w:space="0" w:color="auto"/>
        <w:right w:val="none" w:sz="0" w:space="0" w:color="auto"/>
      </w:divBdr>
    </w:div>
    <w:div w:id="1702701806">
      <w:bodyDiv w:val="1"/>
      <w:marLeft w:val="0"/>
      <w:marRight w:val="0"/>
      <w:marTop w:val="0"/>
      <w:marBottom w:val="0"/>
      <w:divBdr>
        <w:top w:val="none" w:sz="0" w:space="0" w:color="auto"/>
        <w:left w:val="none" w:sz="0" w:space="0" w:color="auto"/>
        <w:bottom w:val="none" w:sz="0" w:space="0" w:color="auto"/>
        <w:right w:val="none" w:sz="0" w:space="0" w:color="auto"/>
      </w:divBdr>
    </w:div>
    <w:div w:id="173476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33242-35B3-4EE6-A001-1887D9A5C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C9E6E-5531-429B-9FDE-B873925E8F22}">
  <ds:schemaRefs>
    <ds:schemaRef ds:uri="http://schemas.microsoft.com/sharepoint/v3/contenttype/forms"/>
  </ds:schemaRefs>
</ds:datastoreItem>
</file>

<file path=customXml/itemProps3.xml><?xml version="1.0" encoding="utf-8"?>
<ds:datastoreItem xmlns:ds="http://schemas.openxmlformats.org/officeDocument/2006/customXml" ds:itemID="{371594E6-298D-4DD6-A96B-EF99FE15ABD0}">
  <ds:schemaRefs>
    <ds:schemaRef ds:uri="http://schemas.microsoft.com/sharepoint/v3"/>
    <ds:schemaRef ds:uri="2f282d3b-eb4a-4b09-b61f-b9593442e286"/>
    <ds:schemaRef ds:uri="http://schemas.openxmlformats.org/package/2006/metadata/core-properties"/>
    <ds:schemaRef ds:uri="http://purl.org/dc/dcmitype/"/>
    <ds:schemaRef ds:uri="http://schemas.microsoft.com/office/infopath/2007/PartnerControls"/>
    <ds:schemaRef ds:uri="http://purl.org/dc/elements/1.1/"/>
    <ds:schemaRef ds:uri="http://purl.org/dc/terms/"/>
    <ds:schemaRef ds:uri="http://schemas.microsoft.com/office/2006/documentManagement/types"/>
    <ds:schemaRef ds:uri="9b239327-9e80-40e4-b1b7-4394fed77a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384</TotalTime>
  <Pages>10</Pages>
  <Words>3614</Words>
  <Characters>20604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178</cp:revision>
  <cp:lastPrinted>2008-01-31T16:09:00Z</cp:lastPrinted>
  <dcterms:created xsi:type="dcterms:W3CDTF">2022-04-23T21:06:00Z</dcterms:created>
  <dcterms:modified xsi:type="dcterms:W3CDTF">2022-04-25T16:03:00Z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